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5F1D4" w14:textId="3215A821" w:rsidR="003041D5" w:rsidRDefault="003041D5" w:rsidP="00881174">
      <w:pPr>
        <w:jc w:val="center"/>
        <w:rPr>
          <w:b/>
          <w:bCs/>
          <w:sz w:val="36"/>
          <w:szCs w:val="36"/>
          <w:u w:val="single"/>
        </w:rPr>
      </w:pPr>
      <w:r w:rsidRPr="009733EC">
        <w:rPr>
          <w:b/>
          <w:bCs/>
          <w:sz w:val="36"/>
          <w:szCs w:val="36"/>
          <w:u w:val="single"/>
        </w:rPr>
        <w:t>Questions</w:t>
      </w:r>
      <w:r w:rsidR="00A3547D">
        <w:rPr>
          <w:b/>
          <w:bCs/>
          <w:sz w:val="36"/>
          <w:szCs w:val="36"/>
          <w:u w:val="single"/>
        </w:rPr>
        <w:t xml:space="preserve"> </w:t>
      </w:r>
      <w:r w:rsidR="00881174">
        <w:rPr>
          <w:b/>
          <w:bCs/>
          <w:sz w:val="36"/>
          <w:szCs w:val="36"/>
          <w:u w:val="single"/>
        </w:rPr>
        <w:t xml:space="preserve">de la réunion de filière PV sol et </w:t>
      </w:r>
      <w:proofErr w:type="spellStart"/>
      <w:r w:rsidR="00881174">
        <w:rPr>
          <w:b/>
          <w:bCs/>
          <w:sz w:val="36"/>
          <w:szCs w:val="36"/>
          <w:u w:val="single"/>
        </w:rPr>
        <w:t>agriPV</w:t>
      </w:r>
      <w:proofErr w:type="spellEnd"/>
      <w:r w:rsidR="00881174">
        <w:rPr>
          <w:b/>
          <w:bCs/>
          <w:sz w:val="36"/>
          <w:szCs w:val="36"/>
          <w:u w:val="single"/>
        </w:rPr>
        <w:t xml:space="preserve"> du 26 juin 2026</w:t>
      </w:r>
    </w:p>
    <w:p w14:paraId="33186D3F" w14:textId="77777777" w:rsidR="003E7386" w:rsidRDefault="003E7386" w:rsidP="003E7386">
      <w:pPr>
        <w:rPr>
          <w:b/>
          <w:bCs/>
          <w:sz w:val="36"/>
          <w:szCs w:val="36"/>
          <w:u w:val="single"/>
        </w:rPr>
      </w:pPr>
    </w:p>
    <w:p w14:paraId="3B4E8375" w14:textId="5B2063F5" w:rsidR="003E7386" w:rsidRDefault="003E7386" w:rsidP="003E7386">
      <w:pPr>
        <w:jc w:val="both"/>
      </w:pPr>
      <w:r>
        <w:rPr>
          <w:rStyle w:val="lev"/>
        </w:rPr>
        <w:t>Précision méthodologique :</w:t>
      </w:r>
      <w:r>
        <w:t xml:space="preserve"> Les réponses ci-dessous correspondent à la lecture d'</w:t>
      </w:r>
      <w:proofErr w:type="spellStart"/>
      <w:r>
        <w:t>Enerplan</w:t>
      </w:r>
      <w:proofErr w:type="spellEnd"/>
      <w:r>
        <w:t xml:space="preserve"> du cahier des charges de la 9</w:t>
      </w:r>
      <w:r>
        <w:rPr>
          <w:rFonts w:ascii="Arial" w:hAnsi="Arial" w:cs="Arial"/>
        </w:rPr>
        <w:t>ᵉ</w:t>
      </w:r>
      <w:r>
        <w:t xml:space="preserve"> période de l'AO PPE2 PV Sol. Elles sont susceptibles d'être précisées ou amendées par la DGEC et la CRE lors de la publication des Questions/Réponses officielles, attendue autour du </w:t>
      </w:r>
      <w:r>
        <w:rPr>
          <w:rStyle w:val="lev"/>
        </w:rPr>
        <w:t>5 juillet 2026</w:t>
      </w:r>
      <w:r>
        <w:t>.</w:t>
      </w:r>
    </w:p>
    <w:p w14:paraId="39DC6E0F" w14:textId="77777777" w:rsidR="003E7386" w:rsidRPr="009733EC" w:rsidRDefault="003E7386" w:rsidP="003E7386">
      <w:pPr>
        <w:jc w:val="both"/>
        <w:rPr>
          <w:b/>
          <w:bCs/>
          <w:sz w:val="36"/>
          <w:szCs w:val="36"/>
          <w:u w:val="single"/>
        </w:rPr>
      </w:pPr>
    </w:p>
    <w:p w14:paraId="62FB3B10" w14:textId="4DC40A18" w:rsidR="003041D5" w:rsidRPr="009733EC" w:rsidRDefault="003041D5" w:rsidP="00A3547D">
      <w:pPr>
        <w:pStyle w:val="Paragraphedeliste"/>
        <w:numPr>
          <w:ilvl w:val="0"/>
          <w:numId w:val="2"/>
        </w:numPr>
        <w:rPr>
          <w:color w:val="0000FF"/>
        </w:rPr>
      </w:pPr>
      <w:r w:rsidRPr="009733EC">
        <w:rPr>
          <w:b/>
          <w:bCs/>
          <w:color w:val="0000FF"/>
        </w:rPr>
        <w:t>L'exigence d'évitement des zones humides s'applique-t-elle aux projets relevant du cas 2 bis I et du cas 4 (post-APER) ?</w:t>
      </w:r>
    </w:p>
    <w:p w14:paraId="6DAB625E" w14:textId="6B31941E" w:rsidR="003041D5" w:rsidRPr="009733EC" w:rsidRDefault="003041D5" w:rsidP="00DC41FB">
      <w:pPr>
        <w:jc w:val="both"/>
      </w:pPr>
      <w:r w:rsidRPr="009733EC">
        <w:rPr>
          <w:b/>
          <w:bCs/>
        </w:rPr>
        <w:t>Non.</w:t>
      </w:r>
      <w:r w:rsidRPr="009733EC">
        <w:t xml:space="preserve"> </w:t>
      </w:r>
      <w:r w:rsidR="00DC41FB">
        <w:t>L'article 2.7 du cahier des charges précise désormais :« Lorsque la condition c) du cas 2 s'applique… »</w:t>
      </w:r>
      <w:r w:rsidR="00DC41FB">
        <w:t xml:space="preserve">. </w:t>
      </w:r>
      <w:r w:rsidR="00DB7714" w:rsidRPr="00DB7714">
        <w:t>Les obligations relatives à l'évitement des zones humides ne concernent donc que les projets pour lesquels cette condition est applicable, à savoir :</w:t>
      </w:r>
    </w:p>
    <w:p w14:paraId="370BA1E1" w14:textId="77777777" w:rsidR="003041D5" w:rsidRPr="009733EC" w:rsidRDefault="003041D5" w:rsidP="006967A5">
      <w:pPr>
        <w:numPr>
          <w:ilvl w:val="0"/>
          <w:numId w:val="1"/>
        </w:numPr>
        <w:jc w:val="both"/>
      </w:pPr>
      <w:proofErr w:type="gramStart"/>
      <w:r w:rsidRPr="009733EC">
        <w:t>les</w:t>
      </w:r>
      <w:proofErr w:type="gramEnd"/>
      <w:r w:rsidRPr="009733EC">
        <w:t xml:space="preserve"> </w:t>
      </w:r>
      <w:r w:rsidRPr="009733EC">
        <w:rPr>
          <w:b/>
          <w:bCs/>
        </w:rPr>
        <w:t>projets du cas 2</w:t>
      </w:r>
      <w:r w:rsidRPr="009733EC">
        <w:t xml:space="preserve"> ; </w:t>
      </w:r>
    </w:p>
    <w:p w14:paraId="544DFF5E" w14:textId="3BE3F45F" w:rsidR="003041D5" w:rsidRPr="009733EC" w:rsidRDefault="003041D5" w:rsidP="006967A5">
      <w:pPr>
        <w:numPr>
          <w:ilvl w:val="0"/>
          <w:numId w:val="1"/>
        </w:numPr>
        <w:jc w:val="both"/>
      </w:pPr>
      <w:proofErr w:type="gramStart"/>
      <w:r w:rsidRPr="009733EC">
        <w:t>les</w:t>
      </w:r>
      <w:proofErr w:type="gramEnd"/>
      <w:r w:rsidRPr="009733EC">
        <w:t xml:space="preserve"> </w:t>
      </w:r>
      <w:r w:rsidRPr="009733EC">
        <w:rPr>
          <w:b/>
          <w:bCs/>
        </w:rPr>
        <w:t>projets du cas 1 – situation 2</w:t>
      </w:r>
      <w:r w:rsidRPr="009733EC">
        <w:t xml:space="preserve">, pour lesquels le CDC prévoit explicitement que </w:t>
      </w:r>
      <w:r w:rsidRPr="009733EC">
        <w:rPr>
          <w:b/>
          <w:bCs/>
        </w:rPr>
        <w:t>« les conditions b), c) et d) du cas 2 sont remplies »</w:t>
      </w:r>
      <w:r w:rsidRPr="009733EC">
        <w:t xml:space="preserve"> </w:t>
      </w:r>
      <w:r w:rsidR="009A5296" w:rsidRPr="009A5296">
        <w:t xml:space="preserve">(article </w:t>
      </w:r>
      <w:r w:rsidR="009A5296" w:rsidRPr="009A5296">
        <w:rPr>
          <w:b/>
          <w:bCs/>
        </w:rPr>
        <w:t>2.6</w:t>
      </w:r>
      <w:r w:rsidR="009A5296" w:rsidRPr="009A5296">
        <w:t>) ;</w:t>
      </w:r>
    </w:p>
    <w:p w14:paraId="4F4A8FB1" w14:textId="6581141B" w:rsidR="003041D5" w:rsidRPr="009733EC" w:rsidRDefault="003041D5" w:rsidP="006967A5">
      <w:pPr>
        <w:numPr>
          <w:ilvl w:val="0"/>
          <w:numId w:val="1"/>
        </w:numPr>
        <w:jc w:val="both"/>
      </w:pPr>
      <w:proofErr w:type="gramStart"/>
      <w:r w:rsidRPr="009733EC">
        <w:t>les</w:t>
      </w:r>
      <w:proofErr w:type="gramEnd"/>
      <w:r w:rsidRPr="009733EC">
        <w:t xml:space="preserve"> </w:t>
      </w:r>
      <w:r w:rsidRPr="009733EC">
        <w:rPr>
          <w:b/>
          <w:bCs/>
        </w:rPr>
        <w:t>projets du cas 2 bis II</w:t>
      </w:r>
      <w:r w:rsidRPr="009733EC">
        <w:t xml:space="preserve">, auxquels s'appliquent les dispositions du cas 2 </w:t>
      </w:r>
      <w:r w:rsidR="009A5296" w:rsidRPr="009A5296">
        <w:rPr>
          <w:b/>
          <w:bCs/>
        </w:rPr>
        <w:t>(article 2.6) ;</w:t>
      </w:r>
    </w:p>
    <w:p w14:paraId="7A774B45" w14:textId="5AC703CE" w:rsidR="003041D5" w:rsidRPr="009733EC" w:rsidRDefault="003041D5" w:rsidP="006967A5">
      <w:pPr>
        <w:jc w:val="both"/>
      </w:pPr>
      <w:r w:rsidRPr="009733EC">
        <w:t xml:space="preserve">À l'inverse, les projets relevant du </w:t>
      </w:r>
      <w:r w:rsidRPr="009733EC">
        <w:rPr>
          <w:b/>
          <w:bCs/>
        </w:rPr>
        <w:t>cas 2 bis I</w:t>
      </w:r>
      <w:r w:rsidRPr="009733EC">
        <w:t xml:space="preserve"> et du </w:t>
      </w:r>
      <w:r w:rsidRPr="009733EC">
        <w:rPr>
          <w:b/>
          <w:bCs/>
        </w:rPr>
        <w:t>cas 4</w:t>
      </w:r>
      <w:r w:rsidRPr="009733EC">
        <w:t xml:space="preserve"> ne sont pas concernés par cette condition. Le CDC précise par ailleurs que ces projets sont </w:t>
      </w:r>
      <w:r w:rsidRPr="009733EC">
        <w:rPr>
          <w:b/>
          <w:bCs/>
        </w:rPr>
        <w:t>dispensés de CETI</w:t>
      </w:r>
      <w:r w:rsidRPr="009733EC">
        <w:t xml:space="preserve"> (</w:t>
      </w:r>
      <w:r w:rsidR="00297447" w:rsidRPr="00297447">
        <w:t xml:space="preserve">article </w:t>
      </w:r>
      <w:r w:rsidR="00297447" w:rsidRPr="00297447">
        <w:rPr>
          <w:b/>
          <w:bCs/>
        </w:rPr>
        <w:t>2.</w:t>
      </w:r>
      <w:r w:rsidR="00AF6992">
        <w:rPr>
          <w:b/>
          <w:bCs/>
        </w:rPr>
        <w:t>7</w:t>
      </w:r>
      <w:r w:rsidR="00297447">
        <w:t xml:space="preserve"> </w:t>
      </w:r>
      <w:r w:rsidRPr="009733EC">
        <w:rPr>
          <w:b/>
          <w:bCs/>
        </w:rPr>
        <w:t>p. 26</w:t>
      </w:r>
      <w:r w:rsidRPr="009733EC">
        <w:t>).</w:t>
      </w:r>
    </w:p>
    <w:p w14:paraId="0862FC6D" w14:textId="77777777" w:rsidR="003041D5" w:rsidRPr="009733EC" w:rsidRDefault="003041D5" w:rsidP="00A3547D"/>
    <w:p w14:paraId="0CEEEB5D" w14:textId="42536134" w:rsidR="003041D5" w:rsidRPr="009733EC" w:rsidRDefault="009733EC" w:rsidP="00A3547D">
      <w:pPr>
        <w:pStyle w:val="Paragraphedeliste"/>
        <w:numPr>
          <w:ilvl w:val="0"/>
          <w:numId w:val="2"/>
        </w:numPr>
        <w:rPr>
          <w:b/>
          <w:bCs/>
          <w:color w:val="0000FF"/>
        </w:rPr>
      </w:pPr>
      <w:r w:rsidRPr="009733EC">
        <w:rPr>
          <w:b/>
          <w:bCs/>
          <w:color w:val="0000FF"/>
        </w:rPr>
        <w:t>Dans le cas 4, retrouve-t-on également des projets photovoltaïques au sol classiques en zones U/AU post-APER (au-delà des seuls projets agricompatibles) ?</w:t>
      </w:r>
    </w:p>
    <w:p w14:paraId="44675D06" w14:textId="77777777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Oui.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Le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cas 4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ne se limite pas aux projets agricompatibles.</w:t>
      </w:r>
    </w:p>
    <w:p w14:paraId="4C6887AB" w14:textId="77777777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Le cahier des charges distingue les projets selon la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date de dépôt de la demande d'autorisation d'urbanisme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:</w:t>
      </w:r>
    </w:p>
    <w:p w14:paraId="612998D0" w14:textId="1637290A" w:rsidR="009733EC" w:rsidRPr="009733EC" w:rsidRDefault="009733EC" w:rsidP="006967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Cas 1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: projets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« pré loi APER »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, dont la demande d'autorisation d'urbanisme a été déposée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au plus tard un mois après la publication du document-cadre départemental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. Ils peuvent notamment être implantés en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zones U ou AU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</w:t>
      </w:r>
      <w:r w:rsidR="00634D0B" w:rsidRPr="00634D0B">
        <w:rPr>
          <w:rFonts w:eastAsia="Times New Roman" w:cs="Times New Roman"/>
          <w:kern w:val="0"/>
          <w:lang w:eastAsia="fr-FR"/>
          <w14:ligatures w14:val="none"/>
        </w:rPr>
        <w:t xml:space="preserve">(article </w:t>
      </w:r>
      <w:r w:rsidR="00634D0B" w:rsidRPr="00634D0B">
        <w:rPr>
          <w:rFonts w:eastAsia="Times New Roman" w:cs="Times New Roman"/>
          <w:b/>
          <w:bCs/>
          <w:kern w:val="0"/>
          <w:lang w:eastAsia="fr-FR"/>
          <w14:ligatures w14:val="none"/>
        </w:rPr>
        <w:t>2.6</w:t>
      </w:r>
      <w:r w:rsidR="008E047E">
        <w:rPr>
          <w:rFonts w:eastAsia="Times New Roman" w:cs="Times New Roman"/>
          <w:kern w:val="0"/>
          <w:lang w:eastAsia="fr-FR"/>
          <w14:ligatures w14:val="none"/>
        </w:rPr>
        <w:t xml:space="preserve">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2</w:t>
      </w:r>
      <w:r w:rsidR="005F2BF7">
        <w:rPr>
          <w:rFonts w:eastAsia="Times New Roman" w:cs="Times New Roman"/>
          <w:b/>
          <w:bCs/>
          <w:kern w:val="0"/>
          <w:lang w:eastAsia="fr-FR"/>
          <w14:ligatures w14:val="none"/>
        </w:rPr>
        <w:t>0)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. </w:t>
      </w:r>
    </w:p>
    <w:p w14:paraId="13D860C5" w14:textId="1590959D" w:rsidR="009733EC" w:rsidRPr="009733EC" w:rsidRDefault="009733EC" w:rsidP="006967A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lastRenderedPageBreak/>
        <w:t>Cas 4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: projets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« post loi APER »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, dont la demande d'autorisation d'urbanisme a été déposée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plus d'un mois après la publication du document-cadre départemental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,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non agrivoltaïques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au sens de l'article L. 314-36 du Code de l'énergie (</w:t>
      </w:r>
      <w:r w:rsidR="00634D0B" w:rsidRPr="00634D0B">
        <w:rPr>
          <w:rFonts w:eastAsia="Times New Roman" w:cs="Times New Roman"/>
          <w:kern w:val="0"/>
          <w:lang w:eastAsia="fr-FR"/>
          <w14:ligatures w14:val="none"/>
        </w:rPr>
        <w:t xml:space="preserve">article </w:t>
      </w:r>
      <w:r w:rsidR="00634D0B" w:rsidRPr="00634D0B">
        <w:rPr>
          <w:rFonts w:eastAsia="Times New Roman" w:cs="Times New Roman"/>
          <w:b/>
          <w:bCs/>
          <w:kern w:val="0"/>
          <w:lang w:eastAsia="fr-FR"/>
          <w14:ligatures w14:val="none"/>
        </w:rPr>
        <w:t>2.6</w:t>
      </w:r>
      <w:r w:rsidR="00634D0B">
        <w:rPr>
          <w:rFonts w:eastAsia="Times New Roman" w:cs="Times New Roman"/>
          <w:b/>
          <w:bCs/>
          <w:kern w:val="0"/>
          <w:lang w:eastAsia="fr-FR"/>
          <w14:ligatures w14:val="none"/>
        </w:rPr>
        <w:t xml:space="preserve">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25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). </w:t>
      </w:r>
    </w:p>
    <w:p w14:paraId="6E5034C8" w14:textId="477C2F0F" w:rsidR="000E5BBB" w:rsidRDefault="009733EC" w:rsidP="00843D26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Ainsi,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des projets photovoltaïques au sol classiques situés en zones U/AU peuvent relever du cas 4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>, dès lors qu'ils répondent aux critères temporels du cas 4 et ne relèvent pas des cas 2 ou 2 bis.</w:t>
      </w:r>
    </w:p>
    <w:p w14:paraId="0BE2D70D" w14:textId="77777777" w:rsidR="00843D26" w:rsidRDefault="00843D26" w:rsidP="00843D26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</w:p>
    <w:p w14:paraId="5907371D" w14:textId="09C62A16" w:rsidR="009733EC" w:rsidRPr="009733EC" w:rsidRDefault="009733EC" w:rsidP="00A3547D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FF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b/>
          <w:bCs/>
          <w:color w:val="0000FF"/>
          <w:kern w:val="0"/>
          <w:lang w:eastAsia="fr-FR"/>
          <w14:ligatures w14:val="none"/>
        </w:rPr>
        <w:t>La saturation des postes sources, sans solution dans un délai raisonnable (3 à 5 ans ou plus), est-elle un motif de restitution de la garantie financière ?</w:t>
      </w:r>
    </w:p>
    <w:p w14:paraId="12BC4BBD" w14:textId="77777777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Non, pas de manière automatique.</w:t>
      </w:r>
    </w:p>
    <w:p w14:paraId="5CB249EE" w14:textId="5AE2D6E0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Le cahier des charges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n'impose pas de disposer d'une Proposition Technique et Financière (PTF)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au moment du dépôt de la candidature. Il indique seulement que le candidat est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encouragé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à demander son raccordement suffisamment tôt afin de disposer d'une estimation des coûts et délais avant de déposer son offre (</w:t>
      </w:r>
      <w:r w:rsidR="008E047E">
        <w:rPr>
          <w:rFonts w:eastAsia="Times New Roman" w:cs="Times New Roman"/>
          <w:kern w:val="0"/>
          <w:lang w:eastAsia="fr-FR"/>
          <w14:ligatures w14:val="none"/>
        </w:rPr>
        <w:t xml:space="preserve">article 1.2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5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>).</w:t>
      </w:r>
    </w:p>
    <w:p w14:paraId="3ECB191C" w14:textId="77777777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>Le CDC rappelle également que :</w:t>
      </w:r>
    </w:p>
    <w:p w14:paraId="108F255C" w14:textId="77777777" w:rsidR="009733EC" w:rsidRPr="009733EC" w:rsidRDefault="009733EC" w:rsidP="006967A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les coûts de raccordement sont à la charge du candidat retenu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; </w:t>
      </w:r>
    </w:p>
    <w:p w14:paraId="5E98FA42" w14:textId="5012AABD" w:rsidR="009733EC" w:rsidRPr="009733EC" w:rsidRDefault="009733EC" w:rsidP="006967A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proofErr w:type="gramStart"/>
      <w:r w:rsidRPr="009733EC">
        <w:rPr>
          <w:rFonts w:eastAsia="Times New Roman" w:cs="Times New Roman"/>
          <w:kern w:val="0"/>
          <w:lang w:eastAsia="fr-FR"/>
          <w14:ligatures w14:val="none"/>
        </w:rPr>
        <w:t>la</w:t>
      </w:r>
      <w:proofErr w:type="gramEnd"/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sélection à l'appel d'offres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ne préjuge pas du bon aboutissement des procédures administratives ou du raccordement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(</w:t>
      </w:r>
      <w:r w:rsidR="008E047E">
        <w:rPr>
          <w:rFonts w:eastAsia="Times New Roman" w:cs="Times New Roman"/>
          <w:kern w:val="0"/>
          <w:lang w:eastAsia="fr-FR"/>
          <w14:ligatures w14:val="none"/>
        </w:rPr>
        <w:t xml:space="preserve">article 1.2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5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). </w:t>
      </w:r>
    </w:p>
    <w:p w14:paraId="2DC5ACE4" w14:textId="77777777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>En cas de désignation comme lauréat, la garantie financière peut notamment être mobilisée en cas :</w:t>
      </w:r>
    </w:p>
    <w:p w14:paraId="1386646C" w14:textId="77777777" w:rsidR="009733EC" w:rsidRPr="009733EC" w:rsidRDefault="009733EC" w:rsidP="006967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d'absence de demande de raccordement dans les délais ; </w:t>
      </w:r>
    </w:p>
    <w:p w14:paraId="25C7428D" w14:textId="77777777" w:rsidR="009733EC" w:rsidRPr="009733EC" w:rsidRDefault="009733EC" w:rsidP="006967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d'abandon du projet ; </w:t>
      </w:r>
    </w:p>
    <w:p w14:paraId="6850E15A" w14:textId="340CF158" w:rsidR="009733EC" w:rsidRPr="009733EC" w:rsidRDefault="009733EC" w:rsidP="006967A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proofErr w:type="gramStart"/>
      <w:r w:rsidRPr="009733EC">
        <w:rPr>
          <w:rFonts w:eastAsia="Times New Roman" w:cs="Times New Roman"/>
          <w:kern w:val="0"/>
          <w:lang w:eastAsia="fr-FR"/>
          <w14:ligatures w14:val="none"/>
        </w:rPr>
        <w:t>de</w:t>
      </w:r>
      <w:proofErr w:type="gramEnd"/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non-respect des délais de réalisation (</w:t>
      </w:r>
      <w:r w:rsidR="00FF034B">
        <w:rPr>
          <w:rFonts w:eastAsia="Times New Roman" w:cs="Times New Roman"/>
          <w:kern w:val="0"/>
          <w:lang w:eastAsia="fr-FR"/>
          <w14:ligatures w14:val="none"/>
        </w:rPr>
        <w:t xml:space="preserve">article 5.1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43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). </w:t>
      </w:r>
    </w:p>
    <w:p w14:paraId="01E23A80" w14:textId="7DDEC563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>La restitution automatique de la garantie n'est prévue qu'en cas de retrait ou de non-obtention d'une autorisation administrative nécessaire (</w:t>
      </w:r>
      <w:r w:rsidR="0053232C" w:rsidRPr="0053232C">
        <w:rPr>
          <w:rFonts w:eastAsia="Times New Roman" w:cs="Times New Roman"/>
          <w:kern w:val="0"/>
          <w:lang w:eastAsia="fr-FR"/>
          <w14:ligatures w14:val="none"/>
        </w:rPr>
        <w:t>article 6.7</w:t>
      </w:r>
      <w:r w:rsidR="008E047E">
        <w:rPr>
          <w:rFonts w:eastAsia="Times New Roman" w:cs="Times New Roman"/>
          <w:kern w:val="0"/>
          <w:lang w:eastAsia="fr-FR"/>
          <w14:ligatures w14:val="none"/>
        </w:rPr>
        <w:t xml:space="preserve">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49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>).</w:t>
      </w:r>
    </w:p>
    <w:p w14:paraId="5EEAFD31" w14:textId="15640C88" w:rsidR="009733EC" w:rsidRPr="009733EC" w:rsidRDefault="009733EC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En revanche,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une PTF défavorable ou un délai de raccordement incompatible avec l'économie du projet n'est pas identifié comme un motif automatique de restitution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. Le CDC prévoit toutefois qu'un candidat peut solliciter une décision du préfet, qui appréciera la situation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au cas par cas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 xml:space="preserve"> (</w:t>
      </w:r>
      <w:r w:rsidR="0053232C" w:rsidRPr="0053232C">
        <w:rPr>
          <w:rFonts w:eastAsia="Times New Roman" w:cs="Times New Roman"/>
          <w:kern w:val="0"/>
          <w:lang w:eastAsia="fr-FR"/>
          <w14:ligatures w14:val="none"/>
        </w:rPr>
        <w:t>article 6.7</w:t>
      </w:r>
      <w:r w:rsidR="008E047E">
        <w:rPr>
          <w:rFonts w:eastAsia="Times New Roman" w:cs="Times New Roman"/>
          <w:kern w:val="0"/>
          <w:lang w:eastAsia="fr-FR"/>
          <w14:ligatures w14:val="none"/>
        </w:rPr>
        <w:t xml:space="preserve"> </w:t>
      </w:r>
      <w:r w:rsidRPr="009733EC">
        <w:rPr>
          <w:rFonts w:eastAsia="Times New Roman" w:cs="Times New Roman"/>
          <w:b/>
          <w:bCs/>
          <w:kern w:val="0"/>
          <w:lang w:eastAsia="fr-FR"/>
          <w14:ligatures w14:val="none"/>
        </w:rPr>
        <w:t>p. 49</w:t>
      </w:r>
      <w:r w:rsidRPr="009733EC">
        <w:rPr>
          <w:rFonts w:eastAsia="Times New Roman" w:cs="Times New Roman"/>
          <w:kern w:val="0"/>
          <w:lang w:eastAsia="fr-FR"/>
          <w14:ligatures w14:val="none"/>
        </w:rPr>
        <w:t>).</w:t>
      </w:r>
    </w:p>
    <w:p w14:paraId="2EB6A17E" w14:textId="77777777" w:rsidR="003041D5" w:rsidRPr="009733EC" w:rsidRDefault="003041D5" w:rsidP="00A3547D">
      <w:pPr>
        <w:rPr>
          <w:b/>
          <w:bCs/>
          <w:color w:val="0000FF"/>
        </w:rPr>
      </w:pPr>
    </w:p>
    <w:p w14:paraId="3B84E7CC" w14:textId="283C5D76" w:rsidR="009733EC" w:rsidRDefault="009733EC" w:rsidP="00A3547D">
      <w:pPr>
        <w:pStyle w:val="Paragraphedeliste"/>
        <w:numPr>
          <w:ilvl w:val="0"/>
          <w:numId w:val="2"/>
        </w:numPr>
        <w:rPr>
          <w:b/>
          <w:bCs/>
          <w:color w:val="0000FF"/>
        </w:rPr>
      </w:pPr>
      <w:r w:rsidRPr="009733EC">
        <w:rPr>
          <w:b/>
          <w:bCs/>
          <w:color w:val="0000FF"/>
        </w:rPr>
        <w:t>L'organisme chargé du contrôle peut-il être celui qui a réalisé l'EPA ou les études agricoles ?</w:t>
      </w:r>
    </w:p>
    <w:p w14:paraId="02B73B3A" w14:textId="77777777" w:rsidR="00FD410A" w:rsidRPr="00FD410A" w:rsidRDefault="00FD410A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lastRenderedPageBreak/>
        <w:t>Cela dépend du régime applicable au projet.</w:t>
      </w:r>
    </w:p>
    <w:p w14:paraId="4A67CADB" w14:textId="77777777" w:rsidR="00FD410A" w:rsidRPr="00FD410A" w:rsidRDefault="00FD410A" w:rsidP="006967A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Pour les projets relevant du II du cas 2 bis (pré-loi APER)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 xml:space="preserve">, le cahier des charges exige uniquement que le rapport de suivi soit réalisé par un </w:t>
      </w: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organisme scientifique ou technique indépendant du producteur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 xml:space="preserve">. Il </w:t>
      </w: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n'interdit pas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 xml:space="preserve"> que cet organisme ait participé au développement du projet ou réalisé l'EPA. </w:t>
      </w:r>
    </w:p>
    <w:p w14:paraId="0ADE028A" w14:textId="77777777" w:rsidR="00FD410A" w:rsidRPr="00FD410A" w:rsidRDefault="00FD410A" w:rsidP="006967A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Pour les projets relevant du I du cas 2 bis (post-loi APER)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>, c'est le régime de la loi APER qui s'applique. L'</w:t>
      </w: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article 6 de l'arrêté du 5 juillet 2024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 xml:space="preserve"> prévoit que les rapports de suivi </w:t>
      </w: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« ne peuvent être réalisés par une personne ou organisme partie prenante au projet, à son instruction ou son exploitation »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 xml:space="preserve">. </w:t>
      </w:r>
    </w:p>
    <w:p w14:paraId="02141D7C" w14:textId="77777777" w:rsidR="00FD410A" w:rsidRPr="00FD410A" w:rsidRDefault="00FD410A" w:rsidP="006967A5">
      <w:pPr>
        <w:spacing w:before="100" w:beforeAutospacing="1" w:after="100" w:afterAutospacing="1" w:line="240" w:lineRule="auto"/>
        <w:jc w:val="both"/>
        <w:rPr>
          <w:rFonts w:eastAsia="Times New Roman" w:cs="Times New Roman"/>
          <w:kern w:val="0"/>
          <w:lang w:eastAsia="fr-FR"/>
          <w14:ligatures w14:val="none"/>
        </w:rPr>
      </w:pPr>
      <w:r w:rsidRPr="00FD410A">
        <w:rPr>
          <w:rFonts w:eastAsia="Times New Roman" w:cs="Times New Roman"/>
          <w:kern w:val="0"/>
          <w:lang w:eastAsia="fr-FR"/>
          <w14:ligatures w14:val="none"/>
        </w:rPr>
        <w:t xml:space="preserve">Ainsi, l'interdiction de confier le suivi au même organisme que celui ayant réalisé l'EPA </w:t>
      </w:r>
      <w:r w:rsidRPr="00FD410A">
        <w:rPr>
          <w:rFonts w:eastAsia="Times New Roman" w:cs="Times New Roman"/>
          <w:b/>
          <w:bCs/>
          <w:kern w:val="0"/>
          <w:lang w:eastAsia="fr-FR"/>
          <w14:ligatures w14:val="none"/>
        </w:rPr>
        <w:t>ne concerne que les projets soumis au régime APER</w:t>
      </w:r>
      <w:r w:rsidRPr="00FD410A">
        <w:rPr>
          <w:rFonts w:eastAsia="Times New Roman" w:cs="Times New Roman"/>
          <w:kern w:val="0"/>
          <w:lang w:eastAsia="fr-FR"/>
          <w14:ligatures w14:val="none"/>
        </w:rPr>
        <w:t>.</w:t>
      </w:r>
    </w:p>
    <w:p w14:paraId="26A4867D" w14:textId="77777777" w:rsidR="00B1248E" w:rsidRDefault="00B1248E" w:rsidP="00A3547D">
      <w:pPr>
        <w:rPr>
          <w:color w:val="000000" w:themeColor="text1"/>
        </w:rPr>
      </w:pPr>
    </w:p>
    <w:p w14:paraId="5ABAC316" w14:textId="7AD09D03" w:rsidR="00B1248E" w:rsidRPr="00B1248E" w:rsidRDefault="00B1248E" w:rsidP="00A3547D">
      <w:pPr>
        <w:pStyle w:val="Paragraphedeliste"/>
        <w:numPr>
          <w:ilvl w:val="0"/>
          <w:numId w:val="2"/>
        </w:numPr>
        <w:rPr>
          <w:b/>
          <w:bCs/>
          <w:color w:val="0000FF"/>
        </w:rPr>
      </w:pPr>
      <w:r w:rsidRPr="00B1248E">
        <w:rPr>
          <w:b/>
          <w:bCs/>
          <w:color w:val="0000FF"/>
        </w:rPr>
        <w:t>Les Chambres d'agriculture peuvent-elles assurer le suivi puisqu'elles siègent en CDPENAF et participent à l'instruction ?</w:t>
      </w:r>
    </w:p>
    <w:p w14:paraId="6E8D0055" w14:textId="77777777" w:rsidR="00A3547D" w:rsidRPr="00A3547D" w:rsidRDefault="00A3547D" w:rsidP="006967A5">
      <w:pPr>
        <w:pStyle w:val="NormalWeb"/>
        <w:jc w:val="both"/>
        <w:rPr>
          <w:rFonts w:asciiTheme="minorHAnsi" w:hAnsiTheme="minorHAnsi"/>
        </w:rPr>
      </w:pPr>
      <w:r w:rsidRPr="00A3547D">
        <w:rPr>
          <w:rFonts w:asciiTheme="minorHAnsi" w:hAnsiTheme="minorHAnsi"/>
        </w:rPr>
        <w:t xml:space="preserve">Là encore, </w:t>
      </w:r>
      <w:r w:rsidRPr="00A3547D">
        <w:rPr>
          <w:rStyle w:val="lev"/>
          <w:rFonts w:asciiTheme="minorHAnsi" w:hAnsiTheme="minorHAnsi"/>
        </w:rPr>
        <w:t>cela dépend du régime applicable</w:t>
      </w:r>
      <w:r w:rsidRPr="00A3547D">
        <w:rPr>
          <w:rFonts w:asciiTheme="minorHAnsi" w:hAnsiTheme="minorHAnsi"/>
        </w:rPr>
        <w:t>.</w:t>
      </w:r>
    </w:p>
    <w:p w14:paraId="3252A46E" w14:textId="77777777" w:rsidR="00A3547D" w:rsidRPr="00A3547D" w:rsidRDefault="00A3547D" w:rsidP="006967A5">
      <w:pPr>
        <w:pStyle w:val="NormalWeb"/>
        <w:jc w:val="both"/>
        <w:rPr>
          <w:rFonts w:asciiTheme="minorHAnsi" w:hAnsiTheme="minorHAnsi"/>
        </w:rPr>
      </w:pPr>
      <w:r w:rsidRPr="00A3547D">
        <w:rPr>
          <w:rFonts w:asciiTheme="minorHAnsi" w:hAnsiTheme="minorHAnsi"/>
        </w:rPr>
        <w:t xml:space="preserve">Pour les </w:t>
      </w:r>
      <w:r w:rsidRPr="00A3547D">
        <w:rPr>
          <w:rStyle w:val="lev"/>
          <w:rFonts w:asciiTheme="minorHAnsi" w:hAnsiTheme="minorHAnsi"/>
        </w:rPr>
        <w:t>projets relevant du II du cas 2 bis (pré-loi APER)</w:t>
      </w:r>
      <w:r w:rsidRPr="00A3547D">
        <w:rPr>
          <w:rFonts w:asciiTheme="minorHAnsi" w:hAnsiTheme="minorHAnsi"/>
        </w:rPr>
        <w:t xml:space="preserve">, le cahier des charges exige uniquement l'indépendance vis-à-vis du </w:t>
      </w:r>
      <w:r w:rsidRPr="00A3547D">
        <w:rPr>
          <w:rStyle w:val="lev"/>
          <w:rFonts w:asciiTheme="minorHAnsi" w:hAnsiTheme="minorHAnsi"/>
        </w:rPr>
        <w:t>producteur</w:t>
      </w:r>
      <w:r w:rsidRPr="00A3547D">
        <w:rPr>
          <w:rFonts w:asciiTheme="minorHAnsi" w:hAnsiTheme="minorHAnsi"/>
        </w:rPr>
        <w:t xml:space="preserve">. Le fait qu'une Chambre d'agriculture siège en CDPENAF </w:t>
      </w:r>
      <w:r w:rsidRPr="00A3547D">
        <w:rPr>
          <w:rStyle w:val="lev"/>
          <w:rFonts w:asciiTheme="minorHAnsi" w:hAnsiTheme="minorHAnsi"/>
        </w:rPr>
        <w:t>n'est pas, en lui-même, un motif d'exclusion</w:t>
      </w:r>
      <w:r w:rsidRPr="00A3547D">
        <w:rPr>
          <w:rFonts w:asciiTheme="minorHAnsi" w:hAnsiTheme="minorHAnsi"/>
        </w:rPr>
        <w:t>.</w:t>
      </w:r>
    </w:p>
    <w:p w14:paraId="277AEB00" w14:textId="77777777" w:rsidR="00A3547D" w:rsidRPr="00A3547D" w:rsidRDefault="00A3547D" w:rsidP="006967A5">
      <w:pPr>
        <w:pStyle w:val="NormalWeb"/>
        <w:jc w:val="both"/>
        <w:rPr>
          <w:rFonts w:asciiTheme="minorHAnsi" w:hAnsiTheme="minorHAnsi"/>
        </w:rPr>
      </w:pPr>
      <w:r w:rsidRPr="00A3547D">
        <w:rPr>
          <w:rFonts w:asciiTheme="minorHAnsi" w:hAnsiTheme="minorHAnsi"/>
        </w:rPr>
        <w:t xml:space="preserve">En revanche, pour les </w:t>
      </w:r>
      <w:r w:rsidRPr="00A3547D">
        <w:rPr>
          <w:rStyle w:val="lev"/>
          <w:rFonts w:asciiTheme="minorHAnsi" w:hAnsiTheme="minorHAnsi"/>
        </w:rPr>
        <w:t>projets relevant du I du cas 2 bis (post-loi APER)</w:t>
      </w:r>
      <w:r w:rsidRPr="00A3547D">
        <w:rPr>
          <w:rFonts w:asciiTheme="minorHAnsi" w:hAnsiTheme="minorHAnsi"/>
        </w:rPr>
        <w:t xml:space="preserve">, l'article 6 de l'arrêté du 5 juillet 2024 interdit que le rapport soit réalisé par un organisme </w:t>
      </w:r>
      <w:r w:rsidRPr="00A3547D">
        <w:rPr>
          <w:rStyle w:val="lev"/>
          <w:rFonts w:asciiTheme="minorHAnsi" w:hAnsiTheme="minorHAnsi"/>
        </w:rPr>
        <w:t>partie prenante au projet, à son instruction ou à son exploitation</w:t>
      </w:r>
      <w:r w:rsidRPr="00A3547D">
        <w:rPr>
          <w:rFonts w:asciiTheme="minorHAnsi" w:hAnsiTheme="minorHAnsi"/>
        </w:rPr>
        <w:t>.</w:t>
      </w:r>
    </w:p>
    <w:p w14:paraId="31962D14" w14:textId="77777777" w:rsidR="00A3547D" w:rsidRPr="00A3547D" w:rsidRDefault="00A3547D" w:rsidP="006967A5">
      <w:pPr>
        <w:pStyle w:val="NormalWeb"/>
        <w:jc w:val="both"/>
        <w:rPr>
          <w:rFonts w:asciiTheme="minorHAnsi" w:hAnsiTheme="minorHAnsi"/>
        </w:rPr>
      </w:pPr>
      <w:r w:rsidRPr="00A3547D">
        <w:rPr>
          <w:rFonts w:asciiTheme="minorHAnsi" w:hAnsiTheme="minorHAnsi"/>
        </w:rPr>
        <w:t xml:space="preserve">La question de savoir si la participation d'une Chambre d'agriculture à la </w:t>
      </w:r>
      <w:r w:rsidRPr="00A3547D">
        <w:rPr>
          <w:rStyle w:val="lev"/>
          <w:rFonts w:asciiTheme="minorHAnsi" w:hAnsiTheme="minorHAnsi"/>
        </w:rPr>
        <w:t>CDPENAF</w:t>
      </w:r>
      <w:r w:rsidRPr="00A3547D">
        <w:rPr>
          <w:rFonts w:asciiTheme="minorHAnsi" w:hAnsiTheme="minorHAnsi"/>
        </w:rPr>
        <w:t xml:space="preserve"> constitue une participation à l'</w:t>
      </w:r>
      <w:r w:rsidRPr="00A3547D">
        <w:rPr>
          <w:rStyle w:val="lev"/>
          <w:rFonts w:asciiTheme="minorHAnsi" w:hAnsiTheme="minorHAnsi"/>
        </w:rPr>
        <w:t>instruction</w:t>
      </w:r>
      <w:r w:rsidRPr="00A3547D">
        <w:rPr>
          <w:rFonts w:asciiTheme="minorHAnsi" w:hAnsiTheme="minorHAnsi"/>
        </w:rPr>
        <w:t xml:space="preserve"> du projet </w:t>
      </w:r>
      <w:r w:rsidRPr="00A3547D">
        <w:rPr>
          <w:rStyle w:val="lev"/>
          <w:rFonts w:asciiTheme="minorHAnsi" w:hAnsiTheme="minorHAnsi"/>
        </w:rPr>
        <w:t>n'est pas explicitement tranchée par les textes</w:t>
      </w:r>
      <w:r w:rsidRPr="00A3547D">
        <w:rPr>
          <w:rFonts w:asciiTheme="minorHAnsi" w:hAnsiTheme="minorHAnsi"/>
        </w:rPr>
        <w:t>.</w:t>
      </w:r>
    </w:p>
    <w:p w14:paraId="69EBEC68" w14:textId="77777777" w:rsidR="00B1248E" w:rsidRPr="009733EC" w:rsidRDefault="00B1248E" w:rsidP="009733EC">
      <w:pPr>
        <w:rPr>
          <w:color w:val="000000" w:themeColor="text1"/>
        </w:rPr>
      </w:pPr>
    </w:p>
    <w:sectPr w:rsidR="00B1248E" w:rsidRPr="0097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5DAA"/>
    <w:multiLevelType w:val="multilevel"/>
    <w:tmpl w:val="2818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F5A5E"/>
    <w:multiLevelType w:val="multilevel"/>
    <w:tmpl w:val="45B4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E53F4"/>
    <w:multiLevelType w:val="multilevel"/>
    <w:tmpl w:val="E47C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15CC5"/>
    <w:multiLevelType w:val="multilevel"/>
    <w:tmpl w:val="5FD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A0C1E"/>
    <w:multiLevelType w:val="multilevel"/>
    <w:tmpl w:val="2CB6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558C2"/>
    <w:multiLevelType w:val="hybridMultilevel"/>
    <w:tmpl w:val="D2A6D494"/>
    <w:lvl w:ilvl="0" w:tplc="7BAE4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26C91"/>
    <w:multiLevelType w:val="multilevel"/>
    <w:tmpl w:val="992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047F61"/>
    <w:multiLevelType w:val="multilevel"/>
    <w:tmpl w:val="180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285888">
    <w:abstractNumId w:val="1"/>
  </w:num>
  <w:num w:numId="2" w16cid:durableId="964821316">
    <w:abstractNumId w:val="5"/>
  </w:num>
  <w:num w:numId="3" w16cid:durableId="2024897660">
    <w:abstractNumId w:val="4"/>
  </w:num>
  <w:num w:numId="4" w16cid:durableId="1602298337">
    <w:abstractNumId w:val="3"/>
  </w:num>
  <w:num w:numId="5" w16cid:durableId="25839537">
    <w:abstractNumId w:val="7"/>
  </w:num>
  <w:num w:numId="6" w16cid:durableId="514808794">
    <w:abstractNumId w:val="0"/>
  </w:num>
  <w:num w:numId="7" w16cid:durableId="443961055">
    <w:abstractNumId w:val="6"/>
  </w:num>
  <w:num w:numId="8" w16cid:durableId="1233155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1D5"/>
    <w:rsid w:val="000E5BBB"/>
    <w:rsid w:val="00123CA5"/>
    <w:rsid w:val="00297447"/>
    <w:rsid w:val="002B4BA7"/>
    <w:rsid w:val="003041D5"/>
    <w:rsid w:val="003E7386"/>
    <w:rsid w:val="00505B4C"/>
    <w:rsid w:val="00530BBA"/>
    <w:rsid w:val="0053232C"/>
    <w:rsid w:val="005F2BF7"/>
    <w:rsid w:val="006119B7"/>
    <w:rsid w:val="00634D0B"/>
    <w:rsid w:val="006967A5"/>
    <w:rsid w:val="007F570B"/>
    <w:rsid w:val="00843D26"/>
    <w:rsid w:val="00881174"/>
    <w:rsid w:val="008E047E"/>
    <w:rsid w:val="009733EC"/>
    <w:rsid w:val="009A5296"/>
    <w:rsid w:val="00A02EFD"/>
    <w:rsid w:val="00A3547D"/>
    <w:rsid w:val="00A4681E"/>
    <w:rsid w:val="00AF6992"/>
    <w:rsid w:val="00B1248E"/>
    <w:rsid w:val="00B41D02"/>
    <w:rsid w:val="00DB7714"/>
    <w:rsid w:val="00DC41FB"/>
    <w:rsid w:val="00E44D33"/>
    <w:rsid w:val="00FD410A"/>
    <w:rsid w:val="00F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E6FA"/>
  <w15:chartTrackingRefBased/>
  <w15:docId w15:val="{79E39F0B-F180-4D0E-B36B-9FE2B987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4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4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4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4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4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4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4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4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4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4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4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4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41D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41D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41D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41D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41D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41D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4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04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4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04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4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041D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41D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041D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4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41D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41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3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9733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837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ZIADI</dc:creator>
  <cp:keywords/>
  <dc:description/>
  <cp:lastModifiedBy>Cheyenne ZIADI</cp:lastModifiedBy>
  <cp:revision>21</cp:revision>
  <dcterms:created xsi:type="dcterms:W3CDTF">2026-06-26T14:52:00Z</dcterms:created>
  <dcterms:modified xsi:type="dcterms:W3CDTF">2026-06-29T15:38:00Z</dcterms:modified>
</cp:coreProperties>
</file>