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CellMar>
          <w:left w:w="0" w:type="dxa"/>
          <w:right w:w="0" w:type="dxa"/>
        </w:tblCellMar>
        <w:tblLook w:val="04A0" w:firstRow="1" w:lastRow="0" w:firstColumn="1" w:lastColumn="0" w:noHBand="0" w:noVBand="1"/>
      </w:tblPr>
      <w:tblGrid>
        <w:gridCol w:w="2410"/>
        <w:gridCol w:w="4848"/>
        <w:gridCol w:w="2807"/>
      </w:tblGrid>
      <w:tr w:rsidR="00785213" w14:paraId="7E4F01CB" w14:textId="77777777" w:rsidTr="00F56BB5">
        <w:tc>
          <w:tcPr>
            <w:tcW w:w="2410" w:type="dxa"/>
          </w:tcPr>
          <w:p w14:paraId="6A96614D" w14:textId="77777777" w:rsidR="00785213" w:rsidRDefault="00785213" w:rsidP="00B85871">
            <w:pPr>
              <w:pStyle w:val="NormalWeb"/>
              <w:snapToGrid w:val="0"/>
              <w:spacing w:before="0"/>
              <w:rPr>
                <w:sz w:val="20"/>
                <w:szCs w:val="20"/>
              </w:rPr>
            </w:pPr>
          </w:p>
          <w:p w14:paraId="261FB6B1" w14:textId="77777777" w:rsidR="00785213" w:rsidRDefault="00785213" w:rsidP="00F56BB5">
            <w:pPr>
              <w:pStyle w:val="NormalWeb"/>
              <w:jc w:val="center"/>
              <w:rPr>
                <w:b/>
                <w:sz w:val="20"/>
                <w:szCs w:val="20"/>
              </w:rPr>
            </w:pPr>
            <w:r>
              <w:rPr>
                <w:b/>
                <w:sz w:val="20"/>
                <w:szCs w:val="20"/>
              </w:rPr>
              <w:t>Conseil supérieur      de l’énergie</w:t>
            </w:r>
          </w:p>
          <w:p w14:paraId="29B07779" w14:textId="77777777" w:rsidR="00785213" w:rsidRDefault="00785213" w:rsidP="00F56BB5">
            <w:pPr>
              <w:pStyle w:val="NormalWeb"/>
              <w:jc w:val="center"/>
              <w:rPr>
                <w:b/>
                <w:sz w:val="20"/>
                <w:szCs w:val="20"/>
              </w:rPr>
            </w:pPr>
            <w:r>
              <w:rPr>
                <w:b/>
                <w:sz w:val="20"/>
                <w:szCs w:val="20"/>
              </w:rPr>
              <w:t>-</w:t>
            </w:r>
          </w:p>
          <w:p w14:paraId="71E42842" w14:textId="77777777" w:rsidR="00785213" w:rsidRDefault="00785213" w:rsidP="00F56BB5">
            <w:pPr>
              <w:pStyle w:val="NormalWeb"/>
              <w:jc w:val="center"/>
            </w:pPr>
            <w:r>
              <w:rPr>
                <w:rStyle w:val="Accentuationforte"/>
                <w:b w:val="0"/>
                <w:sz w:val="20"/>
                <w:szCs w:val="20"/>
              </w:rPr>
              <w:t xml:space="preserve">Séance du </w:t>
            </w:r>
            <w:r w:rsidRPr="003F46F7">
              <w:rPr>
                <w:rStyle w:val="Accentuationforte"/>
                <w:bCs w:val="0"/>
                <w:sz w:val="20"/>
                <w:szCs w:val="20"/>
              </w:rPr>
              <w:t>30</w:t>
            </w:r>
            <w:r>
              <w:rPr>
                <w:rStyle w:val="Accentuationforte"/>
                <w:sz w:val="20"/>
                <w:szCs w:val="20"/>
              </w:rPr>
              <w:t xml:space="preserve"> juin 2026</w:t>
            </w:r>
          </w:p>
          <w:p w14:paraId="58E95ADF" w14:textId="77777777" w:rsidR="00785213" w:rsidRDefault="00785213" w:rsidP="00F56BB5">
            <w:pPr>
              <w:pStyle w:val="NormalWeb"/>
              <w:spacing w:after="0"/>
              <w:jc w:val="center"/>
            </w:pPr>
          </w:p>
        </w:tc>
        <w:tc>
          <w:tcPr>
            <w:tcW w:w="4848" w:type="dxa"/>
          </w:tcPr>
          <w:p w14:paraId="0B4FF043" w14:textId="77777777" w:rsidR="00785213" w:rsidRDefault="00785213" w:rsidP="00F56BB5">
            <w:pPr>
              <w:pStyle w:val="NormalWeb"/>
              <w:snapToGrid w:val="0"/>
              <w:spacing w:before="0"/>
              <w:jc w:val="center"/>
              <w:rPr>
                <w:sz w:val="20"/>
                <w:szCs w:val="20"/>
              </w:rPr>
            </w:pPr>
          </w:p>
          <w:p w14:paraId="474DE9A9" w14:textId="5944BC12" w:rsidR="00785213" w:rsidRPr="00B85871" w:rsidRDefault="00785213" w:rsidP="00B85871">
            <w:pPr>
              <w:pStyle w:val="NormalWeb"/>
              <w:jc w:val="center"/>
              <w:rPr>
                <w:b/>
                <w:sz w:val="28"/>
                <w:szCs w:val="28"/>
              </w:rPr>
            </w:pPr>
            <w:r w:rsidRPr="00761574">
              <w:rPr>
                <w:b/>
                <w:sz w:val="28"/>
                <w:szCs w:val="28"/>
              </w:rPr>
              <w:t>Projet d’arrêté modifiant l’arrêté du 22 décembre 2025 relatif à l'application des II et IV C de l'article 175 de la loi n° 2025-127 du 14 février 2025 de finances pour 2025</w:t>
            </w:r>
          </w:p>
          <w:p w14:paraId="1309CC04" w14:textId="77777777" w:rsidR="00785213" w:rsidRDefault="00785213" w:rsidP="00F56BB5">
            <w:pPr>
              <w:pStyle w:val="NormalWeb"/>
              <w:jc w:val="center"/>
            </w:pPr>
            <w:r>
              <w:rPr>
                <w:rStyle w:val="Accentuationforte"/>
                <w:sz w:val="20"/>
                <w:szCs w:val="20"/>
              </w:rPr>
              <w:t>AMENDEMENT N°</w:t>
            </w:r>
            <w:r w:rsidRPr="003F46F7">
              <w:rPr>
                <w:rStyle w:val="Accentuationforte"/>
                <w:sz w:val="20"/>
                <w:szCs w:val="20"/>
                <w:highlight w:val="yellow"/>
              </w:rPr>
              <w:t>XX</w:t>
            </w:r>
          </w:p>
          <w:p w14:paraId="79E48433" w14:textId="77777777" w:rsidR="00785213" w:rsidRDefault="00785213" w:rsidP="00F56BB5">
            <w:pPr>
              <w:pStyle w:val="NormalWeb"/>
              <w:jc w:val="center"/>
            </w:pPr>
            <w:r>
              <w:t xml:space="preserve">présenté par </w:t>
            </w:r>
          </w:p>
          <w:p w14:paraId="4EB0950F" w14:textId="77777777" w:rsidR="00785213" w:rsidRDefault="00785213" w:rsidP="00F56BB5">
            <w:pPr>
              <w:pStyle w:val="NormalWeb"/>
              <w:spacing w:after="0"/>
              <w:jc w:val="center"/>
              <w:rPr>
                <w:sz w:val="20"/>
                <w:szCs w:val="20"/>
              </w:rPr>
            </w:pPr>
            <w:r w:rsidRPr="003F46F7">
              <w:rPr>
                <w:sz w:val="20"/>
                <w:szCs w:val="20"/>
                <w:highlight w:val="yellow"/>
              </w:rPr>
              <w:t>X</w:t>
            </w:r>
            <w:r w:rsidRPr="003F46F7">
              <w:rPr>
                <w:highlight w:val="yellow"/>
              </w:rPr>
              <w:t>XX</w:t>
            </w:r>
          </w:p>
        </w:tc>
        <w:tc>
          <w:tcPr>
            <w:tcW w:w="2807" w:type="dxa"/>
            <w:vAlign w:val="center"/>
          </w:tcPr>
          <w:p w14:paraId="67533617" w14:textId="485E29DE" w:rsidR="00785213" w:rsidRPr="00761574" w:rsidRDefault="00785213" w:rsidP="00F56BB5">
            <w:pPr>
              <w:pStyle w:val="NormalWeb"/>
              <w:spacing w:after="0"/>
              <w:rPr>
                <w:sz w:val="40"/>
                <w:szCs w:val="40"/>
              </w:rPr>
            </w:pPr>
            <w:r w:rsidRPr="00761574">
              <w:rPr>
                <w:rStyle w:val="Accentuationforte"/>
                <w:sz w:val="40"/>
                <w:szCs w:val="40"/>
              </w:rPr>
              <w:t>Article</w:t>
            </w:r>
            <w:r w:rsidR="00C92F4C">
              <w:rPr>
                <w:rStyle w:val="Accentuationforte"/>
                <w:sz w:val="40"/>
                <w:szCs w:val="40"/>
              </w:rPr>
              <w:t>s</w:t>
            </w:r>
            <w:r w:rsidRPr="00761574">
              <w:rPr>
                <w:rStyle w:val="Accentuationforte"/>
                <w:sz w:val="40"/>
                <w:szCs w:val="40"/>
              </w:rPr>
              <w:t xml:space="preserve"> : </w:t>
            </w:r>
            <w:r>
              <w:rPr>
                <w:rStyle w:val="Accentuationforte"/>
                <w:sz w:val="40"/>
                <w:szCs w:val="40"/>
              </w:rPr>
              <w:t>1</w:t>
            </w:r>
            <w:r w:rsidR="00C92F4C">
              <w:rPr>
                <w:rStyle w:val="Accentuationforte"/>
                <w:sz w:val="40"/>
                <w:szCs w:val="40"/>
              </w:rPr>
              <w:t xml:space="preserve"> à 3</w:t>
            </w:r>
          </w:p>
        </w:tc>
      </w:tr>
    </w:tbl>
    <w:p w14:paraId="3804C919" w14:textId="77777777" w:rsidR="00785213" w:rsidRDefault="00785213" w:rsidP="00785213">
      <w:pPr>
        <w:pBdr>
          <w:bottom w:val="single" w:sz="4" w:space="1" w:color="000000"/>
        </w:pBdr>
        <w:tabs>
          <w:tab w:val="left" w:pos="1407"/>
        </w:tabs>
        <w:jc w:val="center"/>
      </w:pPr>
    </w:p>
    <w:p w14:paraId="62CE6E51" w14:textId="77777777" w:rsidR="00785213" w:rsidRDefault="00785213" w:rsidP="00785213">
      <w:pPr>
        <w:jc w:val="both"/>
      </w:pPr>
    </w:p>
    <w:p w14:paraId="246B0AA5" w14:textId="32905311" w:rsidR="00785213" w:rsidRDefault="00785213" w:rsidP="00785213">
      <w:pPr>
        <w:jc w:val="both"/>
        <w:rPr>
          <w:i/>
          <w:iCs/>
        </w:rPr>
      </w:pPr>
      <w:r>
        <w:rPr>
          <w:b/>
          <w:bCs/>
        </w:rPr>
        <w:t xml:space="preserve">Objet : </w:t>
      </w:r>
      <w:r w:rsidR="00873EF1">
        <w:rPr>
          <w:i/>
          <w:iCs/>
        </w:rPr>
        <w:t>m</w:t>
      </w:r>
      <w:r w:rsidR="00873EF1" w:rsidRPr="00D44458">
        <w:rPr>
          <w:i/>
          <w:iCs/>
        </w:rPr>
        <w:t>ise en œuvre progressive de l’obligation d’arrêt en période de prix négatifs</w:t>
      </w:r>
      <w:r w:rsidR="00873EF1">
        <w:rPr>
          <w:i/>
          <w:iCs/>
        </w:rPr>
        <w:t xml:space="preserve"> de </w:t>
      </w:r>
      <w:r w:rsidR="00826FC0">
        <w:rPr>
          <w:i/>
          <w:iCs/>
        </w:rPr>
        <w:t>7,5 à 10MW/MWc, puis 5 à 7,5MW/MWc, puis 1 à 5MW/MWc</w:t>
      </w:r>
      <w:r w:rsidR="00873EF1">
        <w:rPr>
          <w:i/>
          <w:iCs/>
        </w:rPr>
        <w:t>.</w:t>
      </w:r>
    </w:p>
    <w:p w14:paraId="39842107" w14:textId="77777777" w:rsidR="00785213" w:rsidRDefault="00785213" w:rsidP="00785213">
      <w:pPr>
        <w:jc w:val="both"/>
      </w:pPr>
    </w:p>
    <w:p w14:paraId="62D8A6D1" w14:textId="77777777" w:rsidR="00327523" w:rsidRDefault="00327523" w:rsidP="00327523">
      <w:pPr>
        <w:jc w:val="both"/>
        <w:rPr>
          <w:i/>
          <w:iCs/>
        </w:rPr>
      </w:pPr>
      <w:r>
        <w:rPr>
          <w:i/>
          <w:iCs/>
        </w:rPr>
        <w:t>L’a</w:t>
      </w:r>
      <w:r w:rsidRPr="00385AC7">
        <w:rPr>
          <w:i/>
          <w:iCs/>
        </w:rPr>
        <w:t xml:space="preserve">rticle </w:t>
      </w:r>
      <w:r>
        <w:rPr>
          <w:i/>
          <w:iCs/>
        </w:rPr>
        <w:t>1</w:t>
      </w:r>
      <w:r w:rsidRPr="00287921">
        <w:rPr>
          <w:i/>
          <w:iCs/>
          <w:vertAlign w:val="superscript"/>
        </w:rPr>
        <w:t>er</w:t>
      </w:r>
      <w:r>
        <w:rPr>
          <w:i/>
          <w:iCs/>
        </w:rPr>
        <w:t xml:space="preserve"> du présent projet d’arrêté est remplacé par le paragraphe suivant :</w:t>
      </w:r>
    </w:p>
    <w:p w14:paraId="2C848288" w14:textId="30BD9943" w:rsidR="00327523" w:rsidRPr="00287921" w:rsidRDefault="00327523" w:rsidP="00327523">
      <w:pPr>
        <w:jc w:val="both"/>
        <w:rPr>
          <w:i/>
          <w:iCs/>
        </w:rPr>
      </w:pPr>
      <w:r>
        <w:rPr>
          <w:rFonts w:asciiTheme="minorHAnsi" w:eastAsiaTheme="minorEastAsia" w:hAnsiTheme="minorHAnsi" w:cstheme="minorBidi"/>
          <w:kern w:val="2"/>
          <w:sz w:val="22"/>
          <w:szCs w:val="22"/>
          <w:lang w:eastAsia="fr-FR"/>
          <w14:ligatures w14:val="standardContextual"/>
        </w:rPr>
        <w:t>« </w:t>
      </w:r>
      <w:r w:rsidRPr="004A1AA1">
        <w:rPr>
          <w:color w:val="FF0000"/>
        </w:rPr>
        <w:t>Au I de l’article 2 de l’arrêté du 22 décembre 2025 susvisé, les mots « 10 mégawatts-crête » sont remplacés par les mots « </w:t>
      </w:r>
      <w:r w:rsidR="00F72128">
        <w:rPr>
          <w:color w:val="FF0000"/>
        </w:rPr>
        <w:t>7,</w:t>
      </w:r>
      <w:r w:rsidRPr="004A1AA1">
        <w:rPr>
          <w:color w:val="FF0000"/>
        </w:rPr>
        <w:t>5 mégawatt</w:t>
      </w:r>
      <w:r>
        <w:rPr>
          <w:color w:val="FF0000"/>
        </w:rPr>
        <w:t>s</w:t>
      </w:r>
      <w:r w:rsidRPr="004A1AA1">
        <w:rPr>
          <w:color w:val="FF0000"/>
        </w:rPr>
        <w:t>-crête à partir du 1</w:t>
      </w:r>
      <w:r w:rsidRPr="004A1AA1">
        <w:rPr>
          <w:color w:val="FF0000"/>
          <w:vertAlign w:val="superscript"/>
        </w:rPr>
        <w:t>er</w:t>
      </w:r>
      <w:r w:rsidRPr="004A1AA1">
        <w:rPr>
          <w:color w:val="FF0000"/>
        </w:rPr>
        <w:t xml:space="preserve"> décembre 2026</w:t>
      </w:r>
      <w:r w:rsidR="0018496B">
        <w:rPr>
          <w:color w:val="FF0000"/>
        </w:rPr>
        <w:t>, 5 mégawatts-crête à partir du</w:t>
      </w:r>
      <w:r w:rsidR="00652933">
        <w:rPr>
          <w:color w:val="FF0000"/>
        </w:rPr>
        <w:t xml:space="preserve"> 1</w:t>
      </w:r>
      <w:r w:rsidR="00652933" w:rsidRPr="00652933">
        <w:rPr>
          <w:color w:val="FF0000"/>
          <w:vertAlign w:val="superscript"/>
        </w:rPr>
        <w:t>er</w:t>
      </w:r>
      <w:r w:rsidR="00652933">
        <w:rPr>
          <w:color w:val="FF0000"/>
        </w:rPr>
        <w:t xml:space="preserve"> mars 2027</w:t>
      </w:r>
      <w:r w:rsidRPr="004A1AA1">
        <w:rPr>
          <w:color w:val="FF0000"/>
        </w:rPr>
        <w:t xml:space="preserve"> puis 1 mégawatt-crête à partir du </w:t>
      </w:r>
      <w:r w:rsidR="00652933">
        <w:rPr>
          <w:color w:val="FF0000"/>
        </w:rPr>
        <w:t>1</w:t>
      </w:r>
      <w:r w:rsidR="00652933" w:rsidRPr="00652933">
        <w:rPr>
          <w:color w:val="FF0000"/>
          <w:vertAlign w:val="superscript"/>
        </w:rPr>
        <w:t>er</w:t>
      </w:r>
      <w:r w:rsidR="00652933">
        <w:rPr>
          <w:color w:val="FF0000"/>
        </w:rPr>
        <w:t xml:space="preserve"> décembre</w:t>
      </w:r>
      <w:r w:rsidRPr="004A1AA1">
        <w:rPr>
          <w:color w:val="FF0000"/>
        </w:rPr>
        <w:t xml:space="preserve"> 2027 » et les mots « 10 mégawatts » sont remplacés par les mots « </w:t>
      </w:r>
      <w:r w:rsidR="00652933">
        <w:rPr>
          <w:color w:val="FF0000"/>
        </w:rPr>
        <w:t>7,</w:t>
      </w:r>
      <w:r w:rsidR="00652933" w:rsidRPr="004A1AA1">
        <w:rPr>
          <w:color w:val="FF0000"/>
        </w:rPr>
        <w:t>5 mégawatt</w:t>
      </w:r>
      <w:r w:rsidR="00652933">
        <w:rPr>
          <w:color w:val="FF0000"/>
        </w:rPr>
        <w:t>s</w:t>
      </w:r>
      <w:r w:rsidR="00652933" w:rsidRPr="004A1AA1">
        <w:rPr>
          <w:color w:val="FF0000"/>
        </w:rPr>
        <w:t xml:space="preserve"> à partir du 1</w:t>
      </w:r>
      <w:r w:rsidR="00652933" w:rsidRPr="004A1AA1">
        <w:rPr>
          <w:color w:val="FF0000"/>
          <w:vertAlign w:val="superscript"/>
        </w:rPr>
        <w:t>er</w:t>
      </w:r>
      <w:r w:rsidR="00652933" w:rsidRPr="004A1AA1">
        <w:rPr>
          <w:color w:val="FF0000"/>
        </w:rPr>
        <w:t xml:space="preserve"> décembre 2026</w:t>
      </w:r>
      <w:r w:rsidR="00652933">
        <w:rPr>
          <w:color w:val="FF0000"/>
        </w:rPr>
        <w:t>, 5 mégawatts à partir du 1</w:t>
      </w:r>
      <w:r w:rsidR="00652933" w:rsidRPr="00652933">
        <w:rPr>
          <w:color w:val="FF0000"/>
          <w:vertAlign w:val="superscript"/>
        </w:rPr>
        <w:t>er</w:t>
      </w:r>
      <w:r w:rsidR="00652933">
        <w:rPr>
          <w:color w:val="FF0000"/>
        </w:rPr>
        <w:t xml:space="preserve"> mars 2027</w:t>
      </w:r>
      <w:r w:rsidR="00652933" w:rsidRPr="004A1AA1">
        <w:rPr>
          <w:color w:val="FF0000"/>
        </w:rPr>
        <w:t xml:space="preserve"> puis 1 mégawatt à partir du </w:t>
      </w:r>
      <w:r w:rsidR="00652933">
        <w:rPr>
          <w:color w:val="FF0000"/>
        </w:rPr>
        <w:t>1</w:t>
      </w:r>
      <w:r w:rsidR="00652933" w:rsidRPr="00652933">
        <w:rPr>
          <w:color w:val="FF0000"/>
          <w:vertAlign w:val="superscript"/>
        </w:rPr>
        <w:t>er</w:t>
      </w:r>
      <w:r w:rsidR="00652933">
        <w:rPr>
          <w:color w:val="FF0000"/>
        </w:rPr>
        <w:t xml:space="preserve"> décembre</w:t>
      </w:r>
      <w:r w:rsidR="00652933" w:rsidRPr="004A1AA1">
        <w:rPr>
          <w:color w:val="FF0000"/>
        </w:rPr>
        <w:t xml:space="preserve"> 2027 </w:t>
      </w:r>
      <w:r w:rsidRPr="00287921">
        <w:t>».</w:t>
      </w:r>
    </w:p>
    <w:p w14:paraId="729076BE" w14:textId="77777777" w:rsidR="00327523" w:rsidRDefault="00327523" w:rsidP="00327523">
      <w:pPr>
        <w:jc w:val="both"/>
        <w:rPr>
          <w:i/>
          <w:iCs/>
        </w:rPr>
      </w:pPr>
    </w:p>
    <w:p w14:paraId="2B2840F9" w14:textId="77777777" w:rsidR="00327523" w:rsidRDefault="00327523" w:rsidP="00327523">
      <w:pPr>
        <w:jc w:val="both"/>
        <w:rPr>
          <w:i/>
          <w:iCs/>
        </w:rPr>
      </w:pPr>
      <w:r>
        <w:rPr>
          <w:i/>
          <w:iCs/>
        </w:rPr>
        <w:t>L’article 2</w:t>
      </w:r>
      <w:r w:rsidRPr="00287921">
        <w:rPr>
          <w:i/>
          <w:iCs/>
        </w:rPr>
        <w:t xml:space="preserve"> </w:t>
      </w:r>
      <w:r>
        <w:rPr>
          <w:i/>
          <w:iCs/>
        </w:rPr>
        <w:t xml:space="preserve">du présent projet d’arrêté est remplacé par la phrase suivante : </w:t>
      </w:r>
    </w:p>
    <w:p w14:paraId="4251644D" w14:textId="77777777" w:rsidR="00327523" w:rsidRDefault="00327523" w:rsidP="00327523">
      <w:pPr>
        <w:jc w:val="both"/>
        <w:rPr>
          <w:i/>
          <w:iCs/>
        </w:rPr>
      </w:pPr>
      <w:r>
        <w:rPr>
          <w:i/>
          <w:iCs/>
        </w:rPr>
        <w:t xml:space="preserve">« </w:t>
      </w:r>
      <w:r w:rsidRPr="004A1AA1">
        <w:rPr>
          <w:color w:val="FF0000"/>
        </w:rPr>
        <w:t>Le directeur de l’énergie est chargé de l'exécution du présent arrêté, qui sera publié au Journal officiel de la République française.</w:t>
      </w:r>
      <w:r w:rsidRPr="004A1AA1">
        <w:rPr>
          <w:i/>
          <w:iCs/>
          <w:color w:val="FF0000"/>
        </w:rPr>
        <w:t> </w:t>
      </w:r>
      <w:r>
        <w:rPr>
          <w:i/>
          <w:iCs/>
        </w:rPr>
        <w:t>». </w:t>
      </w:r>
    </w:p>
    <w:p w14:paraId="4781C1A1" w14:textId="77777777" w:rsidR="00327523" w:rsidRDefault="00327523" w:rsidP="00327523">
      <w:pPr>
        <w:jc w:val="both"/>
        <w:rPr>
          <w:i/>
          <w:iCs/>
        </w:rPr>
      </w:pPr>
    </w:p>
    <w:p w14:paraId="23DB1B1A" w14:textId="69369D40" w:rsidR="00785213" w:rsidRPr="005D1645" w:rsidRDefault="00327523" w:rsidP="005D1645">
      <w:pPr>
        <w:jc w:val="both"/>
        <w:rPr>
          <w:i/>
          <w:iCs/>
        </w:rPr>
      </w:pPr>
      <w:r>
        <w:rPr>
          <w:i/>
          <w:iCs/>
        </w:rPr>
        <w:t xml:space="preserve">L’article 3 du présent projet d’arrêté est </w:t>
      </w:r>
      <w:r w:rsidRPr="004A1AA1">
        <w:rPr>
          <w:i/>
          <w:iCs/>
          <w:color w:val="FF0000"/>
        </w:rPr>
        <w:t>supprimé</w:t>
      </w:r>
      <w:r>
        <w:rPr>
          <w:i/>
          <w:iCs/>
        </w:rPr>
        <w:t xml:space="preserve">. </w:t>
      </w:r>
    </w:p>
    <w:p w14:paraId="27AB67D9" w14:textId="77777777" w:rsidR="00785213" w:rsidRDefault="00785213" w:rsidP="00785213">
      <w:pPr>
        <w:jc w:val="center"/>
        <w:rPr>
          <w:b/>
          <w:i/>
        </w:rPr>
      </w:pPr>
    </w:p>
    <w:p w14:paraId="75BBBA88" w14:textId="77777777" w:rsidR="00785213" w:rsidRDefault="00785213" w:rsidP="00785213">
      <w:pPr>
        <w:jc w:val="center"/>
        <w:rPr>
          <w:b/>
        </w:rPr>
      </w:pPr>
      <w:r>
        <w:rPr>
          <w:b/>
        </w:rPr>
        <w:t>Exposé des Motifs</w:t>
      </w:r>
    </w:p>
    <w:p w14:paraId="39EE5302" w14:textId="77777777" w:rsidR="00785213" w:rsidRDefault="00785213" w:rsidP="00785213">
      <w:pPr>
        <w:jc w:val="both"/>
        <w:rPr>
          <w:b/>
        </w:rPr>
      </w:pPr>
    </w:p>
    <w:p w14:paraId="44D99E78" w14:textId="6B99D5BA" w:rsidR="005D1645" w:rsidRDefault="005D1645" w:rsidP="005D1645">
      <w:pPr>
        <w:jc w:val="both"/>
        <w:rPr>
          <w:i/>
        </w:rPr>
      </w:pPr>
      <w:r w:rsidRPr="00D44458">
        <w:rPr>
          <w:i/>
        </w:rPr>
        <w:t>Afin de garantir des conditions de mise en œuvre opérationnelles et proportionnées</w:t>
      </w:r>
      <w:r>
        <w:rPr>
          <w:i/>
          <w:iCs/>
        </w:rPr>
        <w:t>, cohérentes</w:t>
      </w:r>
      <w:r>
        <w:rPr>
          <w:i/>
        </w:rPr>
        <w:t xml:space="preserve"> avec la </w:t>
      </w:r>
      <w:r>
        <w:rPr>
          <w:i/>
          <w:iCs/>
        </w:rPr>
        <w:t>réalité</w:t>
      </w:r>
      <w:r>
        <w:rPr>
          <w:i/>
        </w:rPr>
        <w:t xml:space="preserve"> des </w:t>
      </w:r>
      <w:r>
        <w:rPr>
          <w:i/>
          <w:iCs/>
        </w:rPr>
        <w:t>adaptations techniques</w:t>
      </w:r>
      <w:r>
        <w:rPr>
          <w:i/>
        </w:rPr>
        <w:t xml:space="preserve"> et des </w:t>
      </w:r>
      <w:r>
        <w:rPr>
          <w:i/>
          <w:iCs/>
        </w:rPr>
        <w:t>investissements nécessaires</w:t>
      </w:r>
      <w:r>
        <w:rPr>
          <w:i/>
        </w:rPr>
        <w:t xml:space="preserve"> à réaliser par les producteurs</w:t>
      </w:r>
      <w:r w:rsidRPr="00D44458">
        <w:rPr>
          <w:i/>
        </w:rPr>
        <w:t xml:space="preserve"> </w:t>
      </w:r>
      <w:r>
        <w:rPr>
          <w:i/>
        </w:rPr>
        <w:t xml:space="preserve">pour </w:t>
      </w:r>
      <w:r>
        <w:rPr>
          <w:i/>
          <w:iCs/>
        </w:rPr>
        <w:t>assurer</w:t>
      </w:r>
      <w:r>
        <w:rPr>
          <w:i/>
        </w:rPr>
        <w:t xml:space="preserve"> la mise en œuvre et le </w:t>
      </w:r>
      <w:r>
        <w:rPr>
          <w:i/>
          <w:iCs/>
        </w:rPr>
        <w:t>bon</w:t>
      </w:r>
      <w:r>
        <w:rPr>
          <w:i/>
        </w:rPr>
        <w:t xml:space="preserve"> fonctionnement de l’abaissement du seuil </w:t>
      </w:r>
      <w:r w:rsidRPr="00D44458">
        <w:rPr>
          <w:i/>
        </w:rPr>
        <w:t>d’arrêt en période de prix négatifs pour les installations bénéficiant d’un contrat d’obligation d’achat, il est proposé de modifier le calendrie</w:t>
      </w:r>
      <w:r>
        <w:rPr>
          <w:i/>
        </w:rPr>
        <w:t>r de mise en œuvre</w:t>
      </w:r>
      <w:r>
        <w:rPr>
          <w:i/>
          <w:iCs/>
        </w:rPr>
        <w:t>. Celui-ci serait organisé</w:t>
      </w:r>
      <w:r>
        <w:rPr>
          <w:i/>
        </w:rPr>
        <w:t xml:space="preserve"> en </w:t>
      </w:r>
      <w:r w:rsidR="00324ABC">
        <w:rPr>
          <w:i/>
        </w:rPr>
        <w:t>trois</w:t>
      </w:r>
      <w:r>
        <w:rPr>
          <w:i/>
        </w:rPr>
        <w:t xml:space="preserve"> </w:t>
      </w:r>
      <w:r>
        <w:rPr>
          <w:i/>
          <w:iCs/>
        </w:rPr>
        <w:t>étapes :</w:t>
      </w:r>
      <w:r>
        <w:rPr>
          <w:i/>
        </w:rPr>
        <w:t xml:space="preserve"> une première au 1</w:t>
      </w:r>
      <w:r w:rsidRPr="00D44458">
        <w:rPr>
          <w:i/>
          <w:vertAlign w:val="superscript"/>
        </w:rPr>
        <w:t>er</w:t>
      </w:r>
      <w:r>
        <w:rPr>
          <w:i/>
        </w:rPr>
        <w:t xml:space="preserve"> décembre 2026 pour les centrales de 10 à </w:t>
      </w:r>
      <w:r w:rsidR="00324ABC">
        <w:rPr>
          <w:i/>
        </w:rPr>
        <w:t>7,5</w:t>
      </w:r>
      <w:r>
        <w:rPr>
          <w:i/>
        </w:rPr>
        <w:t xml:space="preserve"> MW et MWc</w:t>
      </w:r>
      <w:r>
        <w:rPr>
          <w:i/>
          <w:iCs/>
        </w:rPr>
        <w:t>,</w:t>
      </w:r>
      <w:r>
        <w:rPr>
          <w:i/>
        </w:rPr>
        <w:t xml:space="preserve"> une </w:t>
      </w:r>
      <w:r w:rsidR="00324ABC">
        <w:rPr>
          <w:i/>
        </w:rPr>
        <w:t>deuxième</w:t>
      </w:r>
      <w:r>
        <w:rPr>
          <w:i/>
        </w:rPr>
        <w:t xml:space="preserve"> au </w:t>
      </w:r>
      <w:r w:rsidR="00B85871">
        <w:rPr>
          <w:i/>
        </w:rPr>
        <w:t>1</w:t>
      </w:r>
      <w:r w:rsidR="00B85871" w:rsidRPr="00B85871">
        <w:rPr>
          <w:i/>
          <w:vertAlign w:val="superscript"/>
        </w:rPr>
        <w:t>er</w:t>
      </w:r>
      <w:r w:rsidR="00B85871">
        <w:rPr>
          <w:i/>
        </w:rPr>
        <w:t xml:space="preserve"> mars 2027</w:t>
      </w:r>
      <w:r>
        <w:rPr>
          <w:i/>
        </w:rPr>
        <w:t xml:space="preserve"> pour les centrales de </w:t>
      </w:r>
      <w:r w:rsidR="00B85871">
        <w:rPr>
          <w:i/>
        </w:rPr>
        <w:t>7,5</w:t>
      </w:r>
      <w:r>
        <w:rPr>
          <w:i/>
        </w:rPr>
        <w:t xml:space="preserve"> à </w:t>
      </w:r>
      <w:r w:rsidR="00B85871">
        <w:rPr>
          <w:i/>
        </w:rPr>
        <w:t>5</w:t>
      </w:r>
      <w:r>
        <w:rPr>
          <w:i/>
        </w:rPr>
        <w:t xml:space="preserve"> MW et MWc</w:t>
      </w:r>
      <w:r w:rsidR="00B85871">
        <w:rPr>
          <w:i/>
        </w:rPr>
        <w:t xml:space="preserve"> puis une dernière étape au 1</w:t>
      </w:r>
      <w:r w:rsidR="00B85871" w:rsidRPr="00B85871">
        <w:rPr>
          <w:i/>
          <w:vertAlign w:val="superscript"/>
        </w:rPr>
        <w:t>er</w:t>
      </w:r>
      <w:r w:rsidR="00B85871">
        <w:rPr>
          <w:i/>
        </w:rPr>
        <w:t xml:space="preserve"> décembre 2027 pour les centrales de 5 à 1MW et MWc.</w:t>
      </w:r>
    </w:p>
    <w:p w14:paraId="6BA1343D" w14:textId="77777777" w:rsidR="005D1645" w:rsidRDefault="005D1645" w:rsidP="005D1645">
      <w:pPr>
        <w:jc w:val="both"/>
        <w:rPr>
          <w:i/>
        </w:rPr>
      </w:pPr>
    </w:p>
    <w:p w14:paraId="225DEF6A" w14:textId="77777777" w:rsidR="005D1645" w:rsidRPr="00D44458" w:rsidRDefault="005D1645" w:rsidP="005D1645">
      <w:pPr>
        <w:jc w:val="both"/>
        <w:rPr>
          <w:i/>
        </w:rPr>
      </w:pPr>
      <w:r w:rsidRPr="00D44458">
        <w:rPr>
          <w:i/>
        </w:rPr>
        <w:t>Cette adaptation vise à :</w:t>
      </w:r>
    </w:p>
    <w:p w14:paraId="08B674AD" w14:textId="77777777" w:rsidR="005D1645" w:rsidRPr="00D44458" w:rsidRDefault="005D1645" w:rsidP="005D1645">
      <w:pPr>
        <w:numPr>
          <w:ilvl w:val="0"/>
          <w:numId w:val="2"/>
        </w:numPr>
        <w:jc w:val="both"/>
        <w:rPr>
          <w:i/>
        </w:rPr>
      </w:pPr>
      <w:r w:rsidRPr="00D44458">
        <w:rPr>
          <w:i/>
        </w:rPr>
        <w:t xml:space="preserve">permettre une montée en charge progressive du dispositif </w:t>
      </w:r>
      <w:r>
        <w:rPr>
          <w:i/>
        </w:rPr>
        <w:t xml:space="preserve">pour permettre aux producteurs et obligés de réaliser les investissements nécessaires </w:t>
      </w:r>
      <w:r w:rsidRPr="00D44458">
        <w:rPr>
          <w:i/>
        </w:rPr>
        <w:t>;</w:t>
      </w:r>
    </w:p>
    <w:p w14:paraId="5AA6C90B" w14:textId="77777777" w:rsidR="005D1645" w:rsidRPr="00D44458" w:rsidRDefault="005D1645" w:rsidP="005D1645">
      <w:pPr>
        <w:numPr>
          <w:ilvl w:val="0"/>
          <w:numId w:val="2"/>
        </w:numPr>
        <w:jc w:val="both"/>
        <w:rPr>
          <w:i/>
        </w:rPr>
      </w:pPr>
      <w:r w:rsidRPr="00D44458">
        <w:rPr>
          <w:i/>
        </w:rPr>
        <w:t>tenir compte des contraintes techniques spécifiques aux installations de plus petite taille, notamment en matière de pilotage</w:t>
      </w:r>
      <w:r>
        <w:rPr>
          <w:i/>
        </w:rPr>
        <w:t xml:space="preserve"> </w:t>
      </w:r>
      <w:r w:rsidRPr="00D44458">
        <w:rPr>
          <w:i/>
        </w:rPr>
        <w:t>;</w:t>
      </w:r>
    </w:p>
    <w:p w14:paraId="46908620" w14:textId="58BD11E8" w:rsidR="00572E1B" w:rsidRDefault="005D1645" w:rsidP="005D1645">
      <w:pPr>
        <w:numPr>
          <w:ilvl w:val="0"/>
          <w:numId w:val="2"/>
        </w:numPr>
        <w:jc w:val="both"/>
        <w:rPr>
          <w:i/>
        </w:rPr>
      </w:pPr>
      <w:r w:rsidRPr="00D44458">
        <w:rPr>
          <w:i/>
        </w:rPr>
        <w:t>sécuriser les développements nécessaires du côté des exploitants et des organismes obligés</w:t>
      </w:r>
      <w:r>
        <w:rPr>
          <w:i/>
        </w:rPr>
        <w:t>.</w:t>
      </w:r>
    </w:p>
    <w:p w14:paraId="0F7A3BAD" w14:textId="77777777" w:rsidR="00572E1B" w:rsidRPr="005D1645" w:rsidRDefault="00572E1B" w:rsidP="00572E1B">
      <w:pPr>
        <w:suppressAutoHyphens w:val="0"/>
        <w:rPr>
          <w:i/>
        </w:rPr>
      </w:pPr>
      <w:r>
        <w:rPr>
          <w:i/>
        </w:rPr>
        <w:br w:type="page"/>
      </w:r>
    </w:p>
    <w:tbl>
      <w:tblPr>
        <w:tblW w:w="10065" w:type="dxa"/>
        <w:tblCellMar>
          <w:left w:w="0" w:type="dxa"/>
          <w:right w:w="0" w:type="dxa"/>
        </w:tblCellMar>
        <w:tblLook w:val="04A0" w:firstRow="1" w:lastRow="0" w:firstColumn="1" w:lastColumn="0" w:noHBand="0" w:noVBand="1"/>
      </w:tblPr>
      <w:tblGrid>
        <w:gridCol w:w="2410"/>
        <w:gridCol w:w="4848"/>
        <w:gridCol w:w="2807"/>
      </w:tblGrid>
      <w:tr w:rsidR="00572E1B" w14:paraId="75B290D7" w14:textId="77777777" w:rsidTr="00F56BB5">
        <w:tc>
          <w:tcPr>
            <w:tcW w:w="2410" w:type="dxa"/>
          </w:tcPr>
          <w:p w14:paraId="5F501AF0" w14:textId="77777777" w:rsidR="00572E1B" w:rsidRDefault="00572E1B" w:rsidP="00F56BB5">
            <w:pPr>
              <w:pStyle w:val="NormalWeb"/>
              <w:snapToGrid w:val="0"/>
              <w:spacing w:before="0"/>
              <w:jc w:val="center"/>
              <w:rPr>
                <w:sz w:val="20"/>
                <w:szCs w:val="20"/>
              </w:rPr>
            </w:pPr>
          </w:p>
          <w:p w14:paraId="1F2640C8" w14:textId="77777777" w:rsidR="00572E1B" w:rsidRDefault="00572E1B" w:rsidP="00F56BB5">
            <w:pPr>
              <w:pStyle w:val="NormalWeb"/>
              <w:jc w:val="center"/>
              <w:rPr>
                <w:b/>
                <w:sz w:val="20"/>
                <w:szCs w:val="20"/>
              </w:rPr>
            </w:pPr>
            <w:r>
              <w:rPr>
                <w:b/>
                <w:sz w:val="20"/>
                <w:szCs w:val="20"/>
              </w:rPr>
              <w:t>Conseil supérieur      de l’énergie</w:t>
            </w:r>
          </w:p>
          <w:p w14:paraId="198FF919" w14:textId="77777777" w:rsidR="00572E1B" w:rsidRDefault="00572E1B" w:rsidP="00F56BB5">
            <w:pPr>
              <w:pStyle w:val="NormalWeb"/>
              <w:jc w:val="center"/>
              <w:rPr>
                <w:b/>
                <w:sz w:val="20"/>
                <w:szCs w:val="20"/>
              </w:rPr>
            </w:pPr>
            <w:r>
              <w:rPr>
                <w:b/>
                <w:sz w:val="20"/>
                <w:szCs w:val="20"/>
              </w:rPr>
              <w:t>-</w:t>
            </w:r>
          </w:p>
          <w:p w14:paraId="4353EFA6" w14:textId="77777777" w:rsidR="00572E1B" w:rsidRDefault="00572E1B" w:rsidP="00F56BB5">
            <w:pPr>
              <w:pStyle w:val="NormalWeb"/>
              <w:jc w:val="center"/>
            </w:pPr>
            <w:r>
              <w:rPr>
                <w:rStyle w:val="Accentuationforte"/>
                <w:b w:val="0"/>
                <w:sz w:val="20"/>
                <w:szCs w:val="20"/>
              </w:rPr>
              <w:t xml:space="preserve">Séance du </w:t>
            </w:r>
            <w:r w:rsidRPr="003F46F7">
              <w:rPr>
                <w:rStyle w:val="Accentuationforte"/>
                <w:bCs w:val="0"/>
                <w:sz w:val="20"/>
                <w:szCs w:val="20"/>
              </w:rPr>
              <w:t>30</w:t>
            </w:r>
            <w:r>
              <w:rPr>
                <w:rStyle w:val="Accentuationforte"/>
                <w:sz w:val="20"/>
                <w:szCs w:val="20"/>
              </w:rPr>
              <w:t xml:space="preserve"> juin 2026</w:t>
            </w:r>
          </w:p>
          <w:p w14:paraId="061D9CA8" w14:textId="77777777" w:rsidR="00572E1B" w:rsidRDefault="00572E1B" w:rsidP="00F56BB5">
            <w:pPr>
              <w:pStyle w:val="NormalWeb"/>
              <w:spacing w:after="0"/>
              <w:jc w:val="center"/>
            </w:pPr>
          </w:p>
        </w:tc>
        <w:tc>
          <w:tcPr>
            <w:tcW w:w="4848" w:type="dxa"/>
          </w:tcPr>
          <w:p w14:paraId="390F9B58" w14:textId="77777777" w:rsidR="00572E1B" w:rsidRDefault="00572E1B" w:rsidP="00F56BB5">
            <w:pPr>
              <w:pStyle w:val="NormalWeb"/>
              <w:snapToGrid w:val="0"/>
              <w:spacing w:before="0"/>
              <w:jc w:val="center"/>
              <w:rPr>
                <w:sz w:val="20"/>
                <w:szCs w:val="20"/>
              </w:rPr>
            </w:pPr>
          </w:p>
          <w:p w14:paraId="26C74F4B" w14:textId="77777777" w:rsidR="00572E1B" w:rsidRPr="00761574" w:rsidRDefault="00572E1B" w:rsidP="00F56BB5">
            <w:pPr>
              <w:pStyle w:val="NormalWeb"/>
              <w:jc w:val="center"/>
              <w:rPr>
                <w:b/>
                <w:sz w:val="28"/>
                <w:szCs w:val="28"/>
              </w:rPr>
            </w:pPr>
            <w:r w:rsidRPr="00761574">
              <w:rPr>
                <w:b/>
                <w:sz w:val="28"/>
                <w:szCs w:val="28"/>
              </w:rPr>
              <w:t>Projet d’arrêté modifiant l’arrêté du 22 décembre 2025 relatif à l'application des II et IV C de l'article 175 de la loi n° 2025-127 du 14 février 2025 de finances pour 2025</w:t>
            </w:r>
          </w:p>
          <w:p w14:paraId="4739BF4C" w14:textId="77777777" w:rsidR="00572E1B" w:rsidRDefault="00572E1B" w:rsidP="00F56BB5">
            <w:pPr>
              <w:pStyle w:val="NormalWeb"/>
              <w:jc w:val="center"/>
            </w:pPr>
          </w:p>
          <w:p w14:paraId="0D6C924A" w14:textId="03B782D0" w:rsidR="00572E1B" w:rsidRDefault="00572E1B" w:rsidP="00F56BB5">
            <w:pPr>
              <w:pStyle w:val="NormalWeb"/>
              <w:jc w:val="center"/>
            </w:pPr>
            <w:commentRangeStart w:id="0"/>
            <w:r>
              <w:rPr>
                <w:rStyle w:val="Accentuationforte"/>
                <w:sz w:val="20"/>
                <w:szCs w:val="20"/>
              </w:rPr>
              <w:t>AMENDEMENT N°</w:t>
            </w:r>
            <w:r w:rsidRPr="003F46F7">
              <w:rPr>
                <w:rStyle w:val="Accentuationforte"/>
                <w:sz w:val="20"/>
                <w:szCs w:val="20"/>
                <w:highlight w:val="yellow"/>
              </w:rPr>
              <w:t>XX</w:t>
            </w:r>
            <w:r>
              <w:rPr>
                <w:rStyle w:val="Accentuationforte"/>
                <w:sz w:val="20"/>
                <w:szCs w:val="20"/>
              </w:rPr>
              <w:t xml:space="preserve"> </w:t>
            </w:r>
            <w:r>
              <w:rPr>
                <w:rStyle w:val="Accentuationforte"/>
                <w:szCs w:val="20"/>
              </w:rPr>
              <w:t>bis</w:t>
            </w:r>
            <w:commentRangeEnd w:id="0"/>
            <w:r w:rsidR="007F7942">
              <w:rPr>
                <w:rStyle w:val="Marquedecommentaire"/>
                <w:sz w:val="24"/>
                <w:szCs w:val="24"/>
              </w:rPr>
              <w:commentReference w:id="0"/>
            </w:r>
          </w:p>
          <w:p w14:paraId="1934E5E5" w14:textId="77777777" w:rsidR="00572E1B" w:rsidRDefault="00572E1B" w:rsidP="00F56BB5">
            <w:pPr>
              <w:pStyle w:val="NormalWeb"/>
              <w:jc w:val="center"/>
            </w:pPr>
            <w:r>
              <w:t xml:space="preserve">présenté par </w:t>
            </w:r>
          </w:p>
          <w:p w14:paraId="1D6440D5" w14:textId="77777777" w:rsidR="00572E1B" w:rsidRDefault="00572E1B" w:rsidP="00F56BB5">
            <w:pPr>
              <w:pStyle w:val="NormalWeb"/>
              <w:spacing w:after="0"/>
              <w:jc w:val="center"/>
              <w:rPr>
                <w:sz w:val="20"/>
                <w:szCs w:val="20"/>
              </w:rPr>
            </w:pPr>
            <w:r w:rsidRPr="003F46F7">
              <w:rPr>
                <w:sz w:val="20"/>
                <w:szCs w:val="20"/>
                <w:highlight w:val="yellow"/>
              </w:rPr>
              <w:t>X</w:t>
            </w:r>
            <w:r w:rsidRPr="003F46F7">
              <w:rPr>
                <w:highlight w:val="yellow"/>
              </w:rPr>
              <w:t>XX</w:t>
            </w:r>
          </w:p>
        </w:tc>
        <w:tc>
          <w:tcPr>
            <w:tcW w:w="2807" w:type="dxa"/>
            <w:vAlign w:val="center"/>
          </w:tcPr>
          <w:p w14:paraId="2A17FF86" w14:textId="77777777" w:rsidR="00572E1B" w:rsidRPr="00761574" w:rsidRDefault="00572E1B" w:rsidP="00F56BB5">
            <w:pPr>
              <w:pStyle w:val="NormalWeb"/>
              <w:spacing w:after="0"/>
              <w:rPr>
                <w:sz w:val="40"/>
                <w:szCs w:val="40"/>
              </w:rPr>
            </w:pPr>
            <w:r w:rsidRPr="00761574">
              <w:rPr>
                <w:rStyle w:val="Accentuationforte"/>
                <w:sz w:val="40"/>
                <w:szCs w:val="40"/>
              </w:rPr>
              <w:t>Article</w:t>
            </w:r>
            <w:r>
              <w:rPr>
                <w:rStyle w:val="Accentuationforte"/>
                <w:sz w:val="40"/>
                <w:szCs w:val="40"/>
              </w:rPr>
              <w:t>s</w:t>
            </w:r>
            <w:r w:rsidRPr="00761574">
              <w:rPr>
                <w:rStyle w:val="Accentuationforte"/>
                <w:sz w:val="40"/>
                <w:szCs w:val="40"/>
              </w:rPr>
              <w:t xml:space="preserve"> : </w:t>
            </w:r>
            <w:r>
              <w:rPr>
                <w:rStyle w:val="Accentuationforte"/>
                <w:sz w:val="40"/>
                <w:szCs w:val="40"/>
              </w:rPr>
              <w:t>1 à 3</w:t>
            </w:r>
          </w:p>
        </w:tc>
      </w:tr>
    </w:tbl>
    <w:p w14:paraId="5E6B8E27" w14:textId="77777777" w:rsidR="00572E1B" w:rsidRDefault="00572E1B" w:rsidP="00572E1B">
      <w:pPr>
        <w:pBdr>
          <w:bottom w:val="single" w:sz="4" w:space="1" w:color="000000"/>
        </w:pBdr>
        <w:tabs>
          <w:tab w:val="left" w:pos="1407"/>
        </w:tabs>
        <w:jc w:val="center"/>
      </w:pPr>
    </w:p>
    <w:p w14:paraId="5F39465B" w14:textId="77777777" w:rsidR="00572E1B" w:rsidRDefault="00572E1B" w:rsidP="00572E1B">
      <w:pPr>
        <w:jc w:val="both"/>
      </w:pPr>
    </w:p>
    <w:p w14:paraId="334D093F" w14:textId="724C7BF4" w:rsidR="00572E1B" w:rsidRDefault="00572E1B" w:rsidP="00572E1B">
      <w:pPr>
        <w:jc w:val="both"/>
        <w:rPr>
          <w:i/>
          <w:iCs/>
        </w:rPr>
      </w:pPr>
      <w:r>
        <w:rPr>
          <w:b/>
          <w:bCs/>
        </w:rPr>
        <w:t xml:space="preserve">Objet : </w:t>
      </w:r>
      <w:r w:rsidR="00222DFF">
        <w:rPr>
          <w:i/>
          <w:iCs/>
        </w:rPr>
        <w:t>m</w:t>
      </w:r>
      <w:r w:rsidR="00222DFF" w:rsidRPr="00D44458">
        <w:rPr>
          <w:i/>
          <w:iCs/>
        </w:rPr>
        <w:t>ise en œuvre progressive de l’obligation d’arrêt en période de prix négatifs</w:t>
      </w:r>
      <w:r w:rsidR="00222DFF">
        <w:rPr>
          <w:i/>
          <w:iCs/>
        </w:rPr>
        <w:t xml:space="preserve"> de 10 à 5 MW et MWc puis de 5 à 1 MW et MWc.</w:t>
      </w:r>
    </w:p>
    <w:p w14:paraId="2D6876DA" w14:textId="77777777" w:rsidR="00572E1B" w:rsidRDefault="00572E1B" w:rsidP="00572E1B">
      <w:pPr>
        <w:jc w:val="both"/>
      </w:pPr>
    </w:p>
    <w:p w14:paraId="75172E38" w14:textId="77777777" w:rsidR="00324ABC" w:rsidRDefault="00324ABC" w:rsidP="00324ABC">
      <w:pPr>
        <w:jc w:val="both"/>
        <w:rPr>
          <w:i/>
          <w:iCs/>
        </w:rPr>
      </w:pPr>
      <w:r>
        <w:rPr>
          <w:i/>
          <w:iCs/>
        </w:rPr>
        <w:t>L’a</w:t>
      </w:r>
      <w:r w:rsidRPr="00385AC7">
        <w:rPr>
          <w:i/>
          <w:iCs/>
        </w:rPr>
        <w:t xml:space="preserve">rticle </w:t>
      </w:r>
      <w:r>
        <w:rPr>
          <w:i/>
          <w:iCs/>
        </w:rPr>
        <w:t>1</w:t>
      </w:r>
      <w:r w:rsidRPr="00287921">
        <w:rPr>
          <w:i/>
          <w:iCs/>
          <w:vertAlign w:val="superscript"/>
        </w:rPr>
        <w:t>er</w:t>
      </w:r>
      <w:r>
        <w:rPr>
          <w:i/>
          <w:iCs/>
        </w:rPr>
        <w:t xml:space="preserve"> du présent projet d’arrêté est remplacé par le paragraphe suivant :</w:t>
      </w:r>
    </w:p>
    <w:p w14:paraId="15550D10" w14:textId="77777777" w:rsidR="00324ABC" w:rsidRPr="00287921" w:rsidRDefault="00324ABC" w:rsidP="00324ABC">
      <w:pPr>
        <w:jc w:val="both"/>
        <w:rPr>
          <w:i/>
          <w:iCs/>
        </w:rPr>
      </w:pPr>
      <w:r>
        <w:rPr>
          <w:rFonts w:asciiTheme="minorHAnsi" w:eastAsiaTheme="minorEastAsia" w:hAnsiTheme="minorHAnsi" w:cstheme="minorBidi"/>
          <w:kern w:val="2"/>
          <w:sz w:val="22"/>
          <w:szCs w:val="22"/>
          <w:lang w:eastAsia="fr-FR"/>
          <w14:ligatures w14:val="standardContextual"/>
        </w:rPr>
        <w:t>« </w:t>
      </w:r>
      <w:r w:rsidRPr="004A1AA1">
        <w:rPr>
          <w:color w:val="FF0000"/>
        </w:rPr>
        <w:t>Au I de l’article 2 de l’arrêté du 22 décembre 2025 susvisé, les mots « 10 mégawatts-crête » sont remplacés par les mots « 5 mégawatt</w:t>
      </w:r>
      <w:r>
        <w:rPr>
          <w:color w:val="FF0000"/>
        </w:rPr>
        <w:t>s</w:t>
      </w:r>
      <w:r w:rsidRPr="004A1AA1">
        <w:rPr>
          <w:color w:val="FF0000"/>
        </w:rPr>
        <w:t>-crête à partir du 1</w:t>
      </w:r>
      <w:r w:rsidRPr="004A1AA1">
        <w:rPr>
          <w:color w:val="FF0000"/>
          <w:vertAlign w:val="superscript"/>
        </w:rPr>
        <w:t>er</w:t>
      </w:r>
      <w:r w:rsidRPr="004A1AA1">
        <w:rPr>
          <w:color w:val="FF0000"/>
        </w:rPr>
        <w:t xml:space="preserve"> décembre 2026 puis 1 mégawatt-crête à partir du 30 juin 2027 » et les mots « 10 mégawatts » sont remplacés par les mots « 5 mégawatt</w:t>
      </w:r>
      <w:r>
        <w:rPr>
          <w:color w:val="FF0000"/>
        </w:rPr>
        <w:t>s</w:t>
      </w:r>
      <w:r w:rsidRPr="004A1AA1">
        <w:rPr>
          <w:color w:val="FF0000"/>
        </w:rPr>
        <w:t xml:space="preserve"> à partir du 1</w:t>
      </w:r>
      <w:r w:rsidRPr="004A1AA1">
        <w:rPr>
          <w:color w:val="FF0000"/>
          <w:vertAlign w:val="superscript"/>
        </w:rPr>
        <w:t>er</w:t>
      </w:r>
      <w:r w:rsidRPr="004A1AA1">
        <w:rPr>
          <w:color w:val="FF0000"/>
        </w:rPr>
        <w:t xml:space="preserve"> décembre 2026 puis 1 mégawatt à partir du 30 juin 2027 </w:t>
      </w:r>
      <w:r w:rsidRPr="00287921">
        <w:t>».</w:t>
      </w:r>
    </w:p>
    <w:p w14:paraId="7AE2D5E2" w14:textId="77777777" w:rsidR="00324ABC" w:rsidRDefault="00324ABC" w:rsidP="00324ABC">
      <w:pPr>
        <w:jc w:val="both"/>
        <w:rPr>
          <w:i/>
          <w:iCs/>
        </w:rPr>
      </w:pPr>
    </w:p>
    <w:p w14:paraId="6B342C58" w14:textId="77777777" w:rsidR="00324ABC" w:rsidRDefault="00324ABC" w:rsidP="00324ABC">
      <w:pPr>
        <w:jc w:val="both"/>
        <w:rPr>
          <w:i/>
          <w:iCs/>
        </w:rPr>
      </w:pPr>
      <w:r>
        <w:rPr>
          <w:i/>
          <w:iCs/>
        </w:rPr>
        <w:t>L’article 2</w:t>
      </w:r>
      <w:r w:rsidRPr="00287921">
        <w:rPr>
          <w:i/>
          <w:iCs/>
        </w:rPr>
        <w:t xml:space="preserve"> </w:t>
      </w:r>
      <w:r>
        <w:rPr>
          <w:i/>
          <w:iCs/>
        </w:rPr>
        <w:t xml:space="preserve">du présent projet d’arrêté est remplacé par la phrase suivante : </w:t>
      </w:r>
    </w:p>
    <w:p w14:paraId="4B9625E0" w14:textId="77777777" w:rsidR="00324ABC" w:rsidRDefault="00324ABC" w:rsidP="00324ABC">
      <w:pPr>
        <w:jc w:val="both"/>
        <w:rPr>
          <w:i/>
          <w:iCs/>
        </w:rPr>
      </w:pPr>
      <w:r>
        <w:rPr>
          <w:i/>
          <w:iCs/>
        </w:rPr>
        <w:t xml:space="preserve">« </w:t>
      </w:r>
      <w:r w:rsidRPr="004A1AA1">
        <w:rPr>
          <w:color w:val="FF0000"/>
        </w:rPr>
        <w:t>Le directeur de l’énergie est chargé de l'exécution du présent arrêté, qui sera publié au Journal officiel de la République française.</w:t>
      </w:r>
      <w:r w:rsidRPr="004A1AA1">
        <w:rPr>
          <w:i/>
          <w:iCs/>
          <w:color w:val="FF0000"/>
        </w:rPr>
        <w:t> </w:t>
      </w:r>
      <w:r>
        <w:rPr>
          <w:i/>
          <w:iCs/>
        </w:rPr>
        <w:t>». </w:t>
      </w:r>
    </w:p>
    <w:p w14:paraId="5A37F098" w14:textId="77777777" w:rsidR="00324ABC" w:rsidRDefault="00324ABC" w:rsidP="00324ABC">
      <w:pPr>
        <w:jc w:val="both"/>
        <w:rPr>
          <w:i/>
          <w:iCs/>
        </w:rPr>
      </w:pPr>
    </w:p>
    <w:p w14:paraId="2F15D87A" w14:textId="77777777" w:rsidR="00324ABC" w:rsidRDefault="00324ABC" w:rsidP="00324ABC">
      <w:pPr>
        <w:jc w:val="both"/>
        <w:rPr>
          <w:i/>
          <w:iCs/>
        </w:rPr>
      </w:pPr>
      <w:r>
        <w:rPr>
          <w:i/>
          <w:iCs/>
        </w:rPr>
        <w:t xml:space="preserve">L’article 3 du présent projet d’arrêté est </w:t>
      </w:r>
      <w:r w:rsidRPr="004A1AA1">
        <w:rPr>
          <w:i/>
          <w:iCs/>
          <w:color w:val="FF0000"/>
        </w:rPr>
        <w:t>supprimé</w:t>
      </w:r>
      <w:r>
        <w:rPr>
          <w:i/>
          <w:iCs/>
        </w:rPr>
        <w:t xml:space="preserve">. </w:t>
      </w:r>
    </w:p>
    <w:p w14:paraId="77CEE74D" w14:textId="77777777" w:rsidR="00572E1B" w:rsidRDefault="00572E1B" w:rsidP="00572E1B">
      <w:pPr>
        <w:jc w:val="center"/>
        <w:rPr>
          <w:b/>
          <w:i/>
        </w:rPr>
      </w:pPr>
    </w:p>
    <w:p w14:paraId="578C6510" w14:textId="77777777" w:rsidR="00572E1B" w:rsidRDefault="00572E1B" w:rsidP="00572E1B">
      <w:pPr>
        <w:jc w:val="center"/>
        <w:rPr>
          <w:b/>
        </w:rPr>
      </w:pPr>
      <w:r>
        <w:rPr>
          <w:b/>
        </w:rPr>
        <w:t>Exposé des Motifs</w:t>
      </w:r>
    </w:p>
    <w:p w14:paraId="400E0CD3" w14:textId="77777777" w:rsidR="00572E1B" w:rsidRDefault="00572E1B" w:rsidP="00572E1B">
      <w:pPr>
        <w:jc w:val="both"/>
        <w:rPr>
          <w:b/>
        </w:rPr>
      </w:pPr>
    </w:p>
    <w:p w14:paraId="760ED7B6" w14:textId="77777777" w:rsidR="00572E1B" w:rsidRDefault="00572E1B" w:rsidP="00572E1B">
      <w:pPr>
        <w:jc w:val="both"/>
        <w:rPr>
          <w:i/>
        </w:rPr>
      </w:pPr>
      <w:r w:rsidRPr="00D44458">
        <w:rPr>
          <w:i/>
        </w:rPr>
        <w:t>Afin de garantir des conditions de mise en œuvre opérationnelles et proportionnées</w:t>
      </w:r>
      <w:r>
        <w:rPr>
          <w:i/>
          <w:iCs/>
        </w:rPr>
        <w:t>, cohérentes</w:t>
      </w:r>
      <w:r>
        <w:rPr>
          <w:i/>
        </w:rPr>
        <w:t xml:space="preserve"> avec la </w:t>
      </w:r>
      <w:r>
        <w:rPr>
          <w:i/>
          <w:iCs/>
        </w:rPr>
        <w:t>réalité</w:t>
      </w:r>
      <w:r>
        <w:rPr>
          <w:i/>
        </w:rPr>
        <w:t xml:space="preserve"> des </w:t>
      </w:r>
      <w:r>
        <w:rPr>
          <w:i/>
          <w:iCs/>
        </w:rPr>
        <w:t>adaptations techniques</w:t>
      </w:r>
      <w:r>
        <w:rPr>
          <w:i/>
        </w:rPr>
        <w:t xml:space="preserve"> et des </w:t>
      </w:r>
      <w:r>
        <w:rPr>
          <w:i/>
          <w:iCs/>
        </w:rPr>
        <w:t>investissements nécessaires</w:t>
      </w:r>
      <w:r>
        <w:rPr>
          <w:i/>
        </w:rPr>
        <w:t xml:space="preserve"> à réaliser par les producteurs</w:t>
      </w:r>
      <w:r w:rsidRPr="00D44458">
        <w:rPr>
          <w:i/>
        </w:rPr>
        <w:t xml:space="preserve"> </w:t>
      </w:r>
      <w:r>
        <w:rPr>
          <w:i/>
        </w:rPr>
        <w:t xml:space="preserve">pour </w:t>
      </w:r>
      <w:r>
        <w:rPr>
          <w:i/>
          <w:iCs/>
        </w:rPr>
        <w:t>assurer</w:t>
      </w:r>
      <w:r>
        <w:rPr>
          <w:i/>
        </w:rPr>
        <w:t xml:space="preserve"> la mise en œuvre et le </w:t>
      </w:r>
      <w:r>
        <w:rPr>
          <w:i/>
          <w:iCs/>
        </w:rPr>
        <w:t>bon</w:t>
      </w:r>
      <w:r>
        <w:rPr>
          <w:i/>
        </w:rPr>
        <w:t xml:space="preserve"> fonctionnement de l’abaissement du seuil </w:t>
      </w:r>
      <w:r w:rsidRPr="00D44458">
        <w:rPr>
          <w:i/>
        </w:rPr>
        <w:t>d’arrêt en période de prix négatifs pour les installations bénéficiant d’un contrat d’obligation d’achat, il est proposé de modifier le calendrie</w:t>
      </w:r>
      <w:r>
        <w:rPr>
          <w:i/>
        </w:rPr>
        <w:t>r de mise en œuvre</w:t>
      </w:r>
      <w:r>
        <w:rPr>
          <w:i/>
          <w:iCs/>
        </w:rPr>
        <w:t>. Celui-ci serait organisé</w:t>
      </w:r>
      <w:r>
        <w:rPr>
          <w:i/>
        </w:rPr>
        <w:t xml:space="preserve"> en deux </w:t>
      </w:r>
      <w:r>
        <w:rPr>
          <w:i/>
          <w:iCs/>
        </w:rPr>
        <w:t>étapes :</w:t>
      </w:r>
      <w:r>
        <w:rPr>
          <w:i/>
        </w:rPr>
        <w:t xml:space="preserve"> une première au 1</w:t>
      </w:r>
      <w:r w:rsidRPr="00D44458">
        <w:rPr>
          <w:i/>
          <w:vertAlign w:val="superscript"/>
        </w:rPr>
        <w:t>er</w:t>
      </w:r>
      <w:r>
        <w:rPr>
          <w:i/>
        </w:rPr>
        <w:t xml:space="preserve"> décembre 2026 pour les centrales de 10 à 5 MW et MWc</w:t>
      </w:r>
      <w:r>
        <w:rPr>
          <w:i/>
          <w:iCs/>
        </w:rPr>
        <w:t>,</w:t>
      </w:r>
      <w:r>
        <w:rPr>
          <w:i/>
        </w:rPr>
        <w:t xml:space="preserve"> et une seconde au 30 juin 2027 pour les centrales de 5 à 1 MW et MWc.</w:t>
      </w:r>
    </w:p>
    <w:p w14:paraId="327651E3" w14:textId="77777777" w:rsidR="00572E1B" w:rsidRDefault="00572E1B" w:rsidP="00572E1B">
      <w:pPr>
        <w:jc w:val="both"/>
        <w:rPr>
          <w:i/>
        </w:rPr>
      </w:pPr>
    </w:p>
    <w:p w14:paraId="0030332E" w14:textId="77777777" w:rsidR="00572E1B" w:rsidRPr="00D44458" w:rsidRDefault="00572E1B" w:rsidP="00572E1B">
      <w:pPr>
        <w:jc w:val="both"/>
        <w:rPr>
          <w:i/>
        </w:rPr>
      </w:pPr>
      <w:r w:rsidRPr="00D44458">
        <w:rPr>
          <w:i/>
        </w:rPr>
        <w:t>Cette adaptation vise à :</w:t>
      </w:r>
    </w:p>
    <w:p w14:paraId="54282AA6" w14:textId="77777777" w:rsidR="00572E1B" w:rsidRPr="00D44458" w:rsidRDefault="00572E1B" w:rsidP="00572E1B">
      <w:pPr>
        <w:numPr>
          <w:ilvl w:val="0"/>
          <w:numId w:val="2"/>
        </w:numPr>
        <w:jc w:val="both"/>
        <w:rPr>
          <w:i/>
        </w:rPr>
      </w:pPr>
      <w:r w:rsidRPr="00D44458">
        <w:rPr>
          <w:i/>
        </w:rPr>
        <w:t xml:space="preserve">permettre une montée en charge progressive du dispositif </w:t>
      </w:r>
      <w:r>
        <w:rPr>
          <w:i/>
        </w:rPr>
        <w:t xml:space="preserve">pour permettre aux producteurs et obligés de réaliser les investissements nécessaires </w:t>
      </w:r>
      <w:r w:rsidRPr="00D44458">
        <w:rPr>
          <w:i/>
        </w:rPr>
        <w:t>;</w:t>
      </w:r>
    </w:p>
    <w:p w14:paraId="23F91253" w14:textId="77777777" w:rsidR="00572E1B" w:rsidRPr="00D44458" w:rsidRDefault="00572E1B" w:rsidP="00572E1B">
      <w:pPr>
        <w:numPr>
          <w:ilvl w:val="0"/>
          <w:numId w:val="2"/>
        </w:numPr>
        <w:jc w:val="both"/>
        <w:rPr>
          <w:i/>
        </w:rPr>
      </w:pPr>
      <w:r w:rsidRPr="00D44458">
        <w:rPr>
          <w:i/>
        </w:rPr>
        <w:t>tenir compte des contraintes techniques spécifiques aux installations de plus petite taille, notamment en matière de pilotage</w:t>
      </w:r>
      <w:r>
        <w:rPr>
          <w:i/>
        </w:rPr>
        <w:t xml:space="preserve"> </w:t>
      </w:r>
      <w:r w:rsidRPr="00D44458">
        <w:rPr>
          <w:i/>
        </w:rPr>
        <w:t>;</w:t>
      </w:r>
    </w:p>
    <w:p w14:paraId="36C1D9DC" w14:textId="66899AF0" w:rsidR="008B6B03" w:rsidRPr="007F7942" w:rsidRDefault="00572E1B" w:rsidP="007F7942">
      <w:pPr>
        <w:numPr>
          <w:ilvl w:val="0"/>
          <w:numId w:val="2"/>
        </w:numPr>
        <w:jc w:val="both"/>
        <w:rPr>
          <w:i/>
        </w:rPr>
      </w:pPr>
      <w:r w:rsidRPr="00D44458">
        <w:rPr>
          <w:i/>
        </w:rPr>
        <w:t>sécuriser les développements nécessaires du côté des exploitants et des organismes obligés</w:t>
      </w:r>
      <w:r>
        <w:rPr>
          <w:i/>
        </w:rPr>
        <w:t>.</w:t>
      </w:r>
    </w:p>
    <w:tbl>
      <w:tblPr>
        <w:tblW w:w="10065" w:type="dxa"/>
        <w:tblCellMar>
          <w:left w:w="0" w:type="dxa"/>
          <w:right w:w="0" w:type="dxa"/>
        </w:tblCellMar>
        <w:tblLook w:val="04A0" w:firstRow="1" w:lastRow="0" w:firstColumn="1" w:lastColumn="0" w:noHBand="0" w:noVBand="1"/>
      </w:tblPr>
      <w:tblGrid>
        <w:gridCol w:w="2410"/>
        <w:gridCol w:w="4848"/>
        <w:gridCol w:w="2807"/>
      </w:tblGrid>
      <w:tr w:rsidR="00CC6C26" w14:paraId="0C210BA1" w14:textId="77777777" w:rsidTr="00D749BC">
        <w:tc>
          <w:tcPr>
            <w:tcW w:w="2410" w:type="dxa"/>
          </w:tcPr>
          <w:p w14:paraId="7055C35E" w14:textId="2DF5B794" w:rsidR="00CC6C26" w:rsidRDefault="00CC6C26">
            <w:pPr>
              <w:pStyle w:val="NormalWeb"/>
              <w:snapToGrid w:val="0"/>
              <w:spacing w:before="0"/>
              <w:jc w:val="center"/>
              <w:rPr>
                <w:sz w:val="20"/>
                <w:szCs w:val="20"/>
              </w:rPr>
            </w:pPr>
          </w:p>
          <w:p w14:paraId="2534D48D" w14:textId="77777777" w:rsidR="00CC6C26" w:rsidRDefault="00E534A2">
            <w:pPr>
              <w:pStyle w:val="NormalWeb"/>
              <w:jc w:val="center"/>
              <w:rPr>
                <w:b/>
                <w:sz w:val="20"/>
                <w:szCs w:val="20"/>
              </w:rPr>
            </w:pPr>
            <w:r>
              <w:rPr>
                <w:b/>
                <w:sz w:val="20"/>
                <w:szCs w:val="20"/>
              </w:rPr>
              <w:t>Conseil supérieur      de l’énergie</w:t>
            </w:r>
          </w:p>
          <w:p w14:paraId="76CAF22C" w14:textId="77777777" w:rsidR="00CC6C26" w:rsidRDefault="00E534A2">
            <w:pPr>
              <w:pStyle w:val="NormalWeb"/>
              <w:jc w:val="center"/>
              <w:rPr>
                <w:b/>
                <w:sz w:val="20"/>
                <w:szCs w:val="20"/>
              </w:rPr>
            </w:pPr>
            <w:r>
              <w:rPr>
                <w:b/>
                <w:sz w:val="20"/>
                <w:szCs w:val="20"/>
              </w:rPr>
              <w:t>-</w:t>
            </w:r>
          </w:p>
          <w:p w14:paraId="62B970BA" w14:textId="23C407CD" w:rsidR="00CC6C26" w:rsidRDefault="00E534A2">
            <w:pPr>
              <w:pStyle w:val="NormalWeb"/>
              <w:jc w:val="center"/>
            </w:pPr>
            <w:r>
              <w:rPr>
                <w:rStyle w:val="Accentuationforte"/>
                <w:b w:val="0"/>
                <w:sz w:val="20"/>
                <w:szCs w:val="20"/>
              </w:rPr>
              <w:t xml:space="preserve">Séance du </w:t>
            </w:r>
            <w:r w:rsidR="003F46F7" w:rsidRPr="003F46F7">
              <w:rPr>
                <w:rStyle w:val="Accentuationforte"/>
                <w:bCs w:val="0"/>
                <w:sz w:val="20"/>
                <w:szCs w:val="20"/>
              </w:rPr>
              <w:t>30</w:t>
            </w:r>
            <w:r w:rsidR="009E1FA9">
              <w:rPr>
                <w:rStyle w:val="Accentuationforte"/>
                <w:sz w:val="20"/>
                <w:szCs w:val="20"/>
              </w:rPr>
              <w:t xml:space="preserve"> </w:t>
            </w:r>
            <w:r w:rsidR="003F46F7">
              <w:rPr>
                <w:rStyle w:val="Accentuationforte"/>
                <w:sz w:val="20"/>
                <w:szCs w:val="20"/>
              </w:rPr>
              <w:t>juin</w:t>
            </w:r>
            <w:r w:rsidR="009E1FA9">
              <w:rPr>
                <w:rStyle w:val="Accentuationforte"/>
                <w:sz w:val="20"/>
                <w:szCs w:val="20"/>
              </w:rPr>
              <w:t xml:space="preserve"> 202</w:t>
            </w:r>
            <w:r w:rsidR="003F46F7">
              <w:rPr>
                <w:rStyle w:val="Accentuationforte"/>
                <w:sz w:val="20"/>
                <w:szCs w:val="20"/>
              </w:rPr>
              <w:t>6</w:t>
            </w:r>
          </w:p>
          <w:p w14:paraId="7F267B63" w14:textId="77777777" w:rsidR="00CC6C26" w:rsidRDefault="00CC6C26">
            <w:pPr>
              <w:pStyle w:val="NormalWeb"/>
              <w:spacing w:after="0"/>
              <w:jc w:val="center"/>
            </w:pPr>
          </w:p>
        </w:tc>
        <w:tc>
          <w:tcPr>
            <w:tcW w:w="4848" w:type="dxa"/>
          </w:tcPr>
          <w:p w14:paraId="025893C8" w14:textId="77777777" w:rsidR="00CC6C26" w:rsidRDefault="00CC6C26">
            <w:pPr>
              <w:pStyle w:val="NormalWeb"/>
              <w:snapToGrid w:val="0"/>
              <w:spacing w:before="0"/>
              <w:jc w:val="center"/>
              <w:rPr>
                <w:sz w:val="20"/>
                <w:szCs w:val="20"/>
              </w:rPr>
            </w:pPr>
          </w:p>
          <w:p w14:paraId="7F307F7D" w14:textId="77777777" w:rsidR="00761574" w:rsidRPr="00761574" w:rsidRDefault="00E534A2" w:rsidP="00761574">
            <w:pPr>
              <w:pStyle w:val="NormalWeb"/>
              <w:jc w:val="center"/>
              <w:rPr>
                <w:b/>
                <w:sz w:val="28"/>
                <w:szCs w:val="28"/>
              </w:rPr>
            </w:pPr>
            <w:r w:rsidRPr="00761574">
              <w:rPr>
                <w:b/>
                <w:sz w:val="28"/>
                <w:szCs w:val="28"/>
              </w:rPr>
              <w:t xml:space="preserve">Projet </w:t>
            </w:r>
            <w:r w:rsidR="00A17C1F" w:rsidRPr="00761574">
              <w:rPr>
                <w:b/>
                <w:sz w:val="28"/>
                <w:szCs w:val="28"/>
              </w:rPr>
              <w:t>d’arrêté</w:t>
            </w:r>
            <w:r w:rsidR="00761574" w:rsidRPr="00761574">
              <w:rPr>
                <w:b/>
                <w:sz w:val="28"/>
                <w:szCs w:val="28"/>
              </w:rPr>
              <w:t xml:space="preserve"> modifiant l’arrêté du 22 décembre 2025 relatif à l'application des II et IV C de l'article 175 de la loi n° 2025-127 du 14 février 2025 de finances pour 2025</w:t>
            </w:r>
          </w:p>
          <w:p w14:paraId="1B2A1B3A" w14:textId="0297D8C6" w:rsidR="00CC6C26" w:rsidRDefault="00CC6C26">
            <w:pPr>
              <w:pStyle w:val="NormalWeb"/>
              <w:jc w:val="center"/>
            </w:pPr>
          </w:p>
          <w:p w14:paraId="3963430F" w14:textId="77432807" w:rsidR="00CC6C26" w:rsidRDefault="00E534A2">
            <w:pPr>
              <w:pStyle w:val="NormalWeb"/>
              <w:jc w:val="center"/>
            </w:pPr>
            <w:r>
              <w:rPr>
                <w:rStyle w:val="Accentuationforte"/>
                <w:sz w:val="20"/>
                <w:szCs w:val="20"/>
              </w:rPr>
              <w:t>AMENDEMENT N°</w:t>
            </w:r>
            <w:r w:rsidR="003F46F7" w:rsidRPr="003F46F7">
              <w:rPr>
                <w:rStyle w:val="Accentuationforte"/>
                <w:sz w:val="20"/>
                <w:szCs w:val="20"/>
                <w:highlight w:val="yellow"/>
              </w:rPr>
              <w:t>XX</w:t>
            </w:r>
          </w:p>
          <w:p w14:paraId="30106FC4" w14:textId="77777777" w:rsidR="00CC6C26" w:rsidRDefault="00E534A2">
            <w:pPr>
              <w:pStyle w:val="NormalWeb"/>
              <w:jc w:val="center"/>
            </w:pPr>
            <w:r>
              <w:t xml:space="preserve">présenté par </w:t>
            </w:r>
          </w:p>
          <w:p w14:paraId="019C7977" w14:textId="593C4C63" w:rsidR="00CC6C26" w:rsidRDefault="003F46F7">
            <w:pPr>
              <w:pStyle w:val="NormalWeb"/>
              <w:spacing w:after="0"/>
              <w:jc w:val="center"/>
              <w:rPr>
                <w:sz w:val="20"/>
                <w:szCs w:val="20"/>
              </w:rPr>
            </w:pPr>
            <w:r w:rsidRPr="003F46F7">
              <w:rPr>
                <w:sz w:val="20"/>
                <w:szCs w:val="20"/>
                <w:highlight w:val="yellow"/>
              </w:rPr>
              <w:t>X</w:t>
            </w:r>
            <w:r w:rsidRPr="003F46F7">
              <w:rPr>
                <w:highlight w:val="yellow"/>
              </w:rPr>
              <w:t>XX</w:t>
            </w:r>
          </w:p>
        </w:tc>
        <w:tc>
          <w:tcPr>
            <w:tcW w:w="2807" w:type="dxa"/>
            <w:vAlign w:val="center"/>
          </w:tcPr>
          <w:p w14:paraId="6AEC73BD" w14:textId="31EECD24" w:rsidR="00CC6C26" w:rsidRPr="00761574" w:rsidRDefault="00E534A2" w:rsidP="00D749BC">
            <w:pPr>
              <w:pStyle w:val="NormalWeb"/>
              <w:spacing w:after="0"/>
              <w:rPr>
                <w:sz w:val="40"/>
                <w:szCs w:val="40"/>
              </w:rPr>
            </w:pPr>
            <w:r w:rsidRPr="00761574">
              <w:rPr>
                <w:rStyle w:val="Accentuationforte"/>
                <w:sz w:val="40"/>
                <w:szCs w:val="40"/>
              </w:rPr>
              <w:t>Article :</w:t>
            </w:r>
            <w:r w:rsidR="00EA6767" w:rsidRPr="00761574">
              <w:rPr>
                <w:rStyle w:val="Accentuationforte"/>
                <w:sz w:val="40"/>
                <w:szCs w:val="40"/>
              </w:rPr>
              <w:t xml:space="preserve"> </w:t>
            </w:r>
            <w:r w:rsidR="00677C76" w:rsidRPr="00677C76">
              <w:rPr>
                <w:rStyle w:val="Accentuationforte"/>
                <w:sz w:val="40"/>
                <w:szCs w:val="40"/>
                <w:highlight w:val="yellow"/>
              </w:rPr>
              <w:t xml:space="preserve">Nouveau </w:t>
            </w:r>
            <w:r w:rsidR="00C63A0D" w:rsidRPr="00677C76">
              <w:rPr>
                <w:rStyle w:val="Accentuationforte"/>
                <w:sz w:val="40"/>
                <w:szCs w:val="40"/>
                <w:highlight w:val="yellow"/>
              </w:rPr>
              <w:t>2</w:t>
            </w:r>
          </w:p>
        </w:tc>
      </w:tr>
    </w:tbl>
    <w:p w14:paraId="6AC7E924" w14:textId="77777777" w:rsidR="00CC6C26" w:rsidRDefault="00CC6C26">
      <w:pPr>
        <w:pBdr>
          <w:bottom w:val="single" w:sz="4" w:space="1" w:color="000000"/>
        </w:pBdr>
        <w:tabs>
          <w:tab w:val="left" w:pos="1407"/>
        </w:tabs>
        <w:jc w:val="center"/>
      </w:pPr>
    </w:p>
    <w:p w14:paraId="1247F920" w14:textId="77777777" w:rsidR="00CC6C26" w:rsidRDefault="00CC6C26">
      <w:pPr>
        <w:jc w:val="center"/>
      </w:pPr>
    </w:p>
    <w:p w14:paraId="6E2CFB97" w14:textId="77777777" w:rsidR="00CC6C26" w:rsidRDefault="00CC6C26">
      <w:pPr>
        <w:jc w:val="both"/>
      </w:pPr>
    </w:p>
    <w:p w14:paraId="4EBCCE2F" w14:textId="296003CD" w:rsidR="00CC6C26" w:rsidRDefault="00E534A2" w:rsidP="005705A5">
      <w:pPr>
        <w:jc w:val="both"/>
        <w:rPr>
          <w:i/>
          <w:iCs/>
        </w:rPr>
      </w:pPr>
      <w:r>
        <w:rPr>
          <w:b/>
          <w:bCs/>
        </w:rPr>
        <w:t xml:space="preserve">Objet : </w:t>
      </w:r>
      <w:r w:rsidR="001E5DFA">
        <w:rPr>
          <w:i/>
          <w:iCs/>
        </w:rPr>
        <w:t>Ajout d’un critère d’exemption pour les parcs ne pouvant pas répondre à l’ordre d’arrêt ou de limitation</w:t>
      </w:r>
      <w:r w:rsidR="007B242F">
        <w:rPr>
          <w:i/>
          <w:iCs/>
        </w:rPr>
        <w:t xml:space="preserve"> </w:t>
      </w:r>
      <w:r>
        <w:rPr>
          <w:i/>
          <w:iCs/>
        </w:rPr>
        <w:t xml:space="preserve"> </w:t>
      </w:r>
    </w:p>
    <w:p w14:paraId="3C3EC481" w14:textId="77777777" w:rsidR="00CC6C26" w:rsidRDefault="00CC6C26">
      <w:pPr>
        <w:jc w:val="both"/>
      </w:pPr>
    </w:p>
    <w:p w14:paraId="6C560814" w14:textId="77777777" w:rsidR="002C46B4" w:rsidRDefault="00C63A0D">
      <w:pPr>
        <w:jc w:val="both"/>
        <w:rPr>
          <w:i/>
        </w:rPr>
      </w:pPr>
      <w:r>
        <w:rPr>
          <w:i/>
        </w:rPr>
        <w:t>Entre l’article</w:t>
      </w:r>
      <w:r w:rsidR="002C46B4">
        <w:rPr>
          <w:i/>
        </w:rPr>
        <w:t xml:space="preserve"> 1 et l’article 2, ajouter l’article suivant :</w:t>
      </w:r>
    </w:p>
    <w:p w14:paraId="4F056420" w14:textId="0F668DAE" w:rsidR="00CC6C26" w:rsidRDefault="002C46B4">
      <w:pPr>
        <w:jc w:val="both"/>
        <w:rPr>
          <w:i/>
        </w:rPr>
      </w:pPr>
      <w:r>
        <w:rPr>
          <w:i/>
        </w:rPr>
        <w:t xml:space="preserve"> </w:t>
      </w:r>
    </w:p>
    <w:p w14:paraId="01CBF85A" w14:textId="4AC52FB6" w:rsidR="0092752F" w:rsidRDefault="002C46B4">
      <w:pPr>
        <w:jc w:val="both"/>
        <w:rPr>
          <w:i/>
        </w:rPr>
      </w:pPr>
      <w:r>
        <w:rPr>
          <w:i/>
        </w:rPr>
        <w:t>«</w:t>
      </w:r>
      <w:r w:rsidR="00A86CC0">
        <w:rPr>
          <w:i/>
        </w:rPr>
        <w:t xml:space="preserve"> </w:t>
      </w:r>
      <w:r w:rsidR="008377C5">
        <w:rPr>
          <w:i/>
        </w:rPr>
        <w:t xml:space="preserve">Après le 2° de l’article II, ajouter l’alinéa suivant : </w:t>
      </w:r>
      <w:r>
        <w:rPr>
          <w:i/>
        </w:rPr>
        <w:t> </w:t>
      </w:r>
    </w:p>
    <w:p w14:paraId="5DB8345F" w14:textId="77777777" w:rsidR="0092752F" w:rsidRDefault="0092752F">
      <w:pPr>
        <w:jc w:val="both"/>
        <w:rPr>
          <w:i/>
        </w:rPr>
      </w:pPr>
    </w:p>
    <w:p w14:paraId="3273CC20" w14:textId="4B537609" w:rsidR="00CC6C26" w:rsidRPr="002C46B4" w:rsidRDefault="008377C5">
      <w:pPr>
        <w:jc w:val="both"/>
        <w:rPr>
          <w:b/>
          <w:bCs/>
          <w:iCs/>
        </w:rPr>
      </w:pPr>
      <w:r>
        <w:rPr>
          <w:b/>
          <w:bCs/>
          <w:iCs/>
        </w:rPr>
        <w:t>« </w:t>
      </w:r>
      <w:r w:rsidR="002C46B4" w:rsidRPr="00FE247E">
        <w:rPr>
          <w:b/>
          <w:bCs/>
          <w:i/>
          <w:color w:val="EE0000"/>
        </w:rPr>
        <w:t xml:space="preserve">La Commission de régulation de l’énergie peut accorder une exemption aux producteurs pour les installations de production justifiant d’une indisponibilité </w:t>
      </w:r>
      <w:commentRangeStart w:id="1"/>
      <w:r w:rsidR="00D53312" w:rsidRPr="007F7942">
        <w:rPr>
          <w:b/>
          <w:bCs/>
          <w:i/>
          <w:color w:val="EE0000"/>
        </w:rPr>
        <w:t>technico-économique</w:t>
      </w:r>
      <w:r w:rsidR="002C46B4" w:rsidRPr="007F7942">
        <w:rPr>
          <w:b/>
          <w:bCs/>
          <w:i/>
          <w:color w:val="EE0000"/>
        </w:rPr>
        <w:t>.</w:t>
      </w:r>
      <w:commentRangeEnd w:id="1"/>
      <w:r w:rsidR="00206F4D" w:rsidRPr="007F7942">
        <w:rPr>
          <w:rStyle w:val="Marquedecommentaire"/>
          <w:b/>
          <w:bCs/>
          <w:iCs/>
          <w:sz w:val="24"/>
          <w:szCs w:val="24"/>
        </w:rPr>
        <w:commentReference w:id="1"/>
      </w:r>
      <w:r w:rsidR="002C46B4" w:rsidRPr="007F7942">
        <w:rPr>
          <w:b/>
          <w:bCs/>
          <w:iCs/>
        </w:rPr>
        <w:t> »</w:t>
      </w:r>
      <w:r w:rsidRPr="007F7942">
        <w:rPr>
          <w:b/>
          <w:bCs/>
          <w:iCs/>
        </w:rPr>
        <w:t> »</w:t>
      </w:r>
    </w:p>
    <w:p w14:paraId="1F6ABCF8" w14:textId="77777777" w:rsidR="00CC6C26" w:rsidRDefault="00CC6C26">
      <w:pPr>
        <w:jc w:val="both"/>
        <w:rPr>
          <w:i/>
        </w:rPr>
      </w:pPr>
    </w:p>
    <w:p w14:paraId="5CE04BA9" w14:textId="77777777" w:rsidR="00CC6C26" w:rsidRDefault="00CC6C26">
      <w:pPr>
        <w:jc w:val="center"/>
        <w:rPr>
          <w:b/>
          <w:i/>
        </w:rPr>
      </w:pPr>
    </w:p>
    <w:p w14:paraId="23C37CDF" w14:textId="77777777" w:rsidR="00CC6C26" w:rsidRDefault="00CC6C26">
      <w:pPr>
        <w:jc w:val="center"/>
        <w:rPr>
          <w:b/>
          <w:i/>
        </w:rPr>
      </w:pPr>
    </w:p>
    <w:p w14:paraId="1D9A2EC3" w14:textId="77777777" w:rsidR="00CC6C26" w:rsidRDefault="00CC6C26">
      <w:pPr>
        <w:jc w:val="center"/>
        <w:rPr>
          <w:b/>
          <w:i/>
        </w:rPr>
      </w:pPr>
    </w:p>
    <w:p w14:paraId="3F00A7B6" w14:textId="77777777" w:rsidR="00CC6C26" w:rsidRDefault="00E534A2">
      <w:pPr>
        <w:jc w:val="center"/>
        <w:rPr>
          <w:b/>
        </w:rPr>
      </w:pPr>
      <w:r>
        <w:rPr>
          <w:b/>
        </w:rPr>
        <w:t>Exposé des Motifs</w:t>
      </w:r>
    </w:p>
    <w:p w14:paraId="172EC5CA" w14:textId="77777777" w:rsidR="00CC6C26" w:rsidRDefault="00CC6C26">
      <w:pPr>
        <w:jc w:val="both"/>
        <w:rPr>
          <w:b/>
        </w:rPr>
      </w:pPr>
    </w:p>
    <w:p w14:paraId="78669399" w14:textId="77777777" w:rsidR="00CC6C26" w:rsidRDefault="00CC6C26">
      <w:pPr>
        <w:jc w:val="both"/>
        <w:rPr>
          <w:b/>
        </w:rPr>
      </w:pPr>
    </w:p>
    <w:p w14:paraId="432FBC97" w14:textId="77777777" w:rsidR="0044399C" w:rsidRDefault="001E3903">
      <w:pPr>
        <w:jc w:val="both"/>
        <w:rPr>
          <w:i/>
        </w:rPr>
      </w:pPr>
      <w:r>
        <w:rPr>
          <w:i/>
        </w:rPr>
        <w:t>Cet amendement vise à exclure du champ d’application de cet arrêté les installations pour lesquelles</w:t>
      </w:r>
      <w:r w:rsidR="00D53312">
        <w:rPr>
          <w:i/>
        </w:rPr>
        <w:t xml:space="preserve"> il serait infaisable techniquement ou économiquement de s’équiper</w:t>
      </w:r>
      <w:r w:rsidR="0044399C">
        <w:rPr>
          <w:i/>
        </w:rPr>
        <w:t xml:space="preserve"> pour répondre aux ordres d’arrêt / de limitation de l’acheteur obligé. </w:t>
      </w:r>
      <w:r w:rsidR="00D53312">
        <w:rPr>
          <w:i/>
        </w:rPr>
        <w:t xml:space="preserve"> </w:t>
      </w:r>
      <w:r w:rsidRPr="001E3903">
        <w:rPr>
          <w:i/>
        </w:rPr>
        <w:t xml:space="preserve"> </w:t>
      </w:r>
    </w:p>
    <w:p w14:paraId="42BF47C9" w14:textId="77777777" w:rsidR="0044399C" w:rsidRDefault="0044399C">
      <w:pPr>
        <w:jc w:val="both"/>
        <w:rPr>
          <w:i/>
        </w:rPr>
      </w:pPr>
    </w:p>
    <w:p w14:paraId="3903FC65" w14:textId="5AC3A65E" w:rsidR="00CC6C26" w:rsidRDefault="001E3903">
      <w:pPr>
        <w:jc w:val="both"/>
        <w:rPr>
          <w:i/>
        </w:rPr>
      </w:pPr>
      <w:r w:rsidRPr="001E3903">
        <w:rPr>
          <w:i/>
        </w:rPr>
        <w:t xml:space="preserve">Les installations les plus anciennes ont été conçues selon des modalités les rendant </w:t>
      </w:r>
      <w:r w:rsidR="00F24061">
        <w:rPr>
          <w:i/>
        </w:rPr>
        <w:t>compliquées, voire impossibles,</w:t>
      </w:r>
      <w:r w:rsidRPr="001E3903">
        <w:rPr>
          <w:i/>
        </w:rPr>
        <w:t xml:space="preserve"> à adapter à une réponse efficace à des consignes de prix négatifs de manière financièrement viable. Les adapter de manière à répondre à des consignes d’arrêt pour prix négatifs nécessiterait des investissements massifs pour changer les systèmes de commande et de contrôle des installations. </w:t>
      </w:r>
      <w:r w:rsidR="00484A57">
        <w:rPr>
          <w:i/>
        </w:rPr>
        <w:t>Sans généraliser cette exemption, cet amendement permet un traitement sur-mesure, avec la possibilité pour chaque producteur</w:t>
      </w:r>
      <w:r w:rsidR="00ED7752">
        <w:rPr>
          <w:i/>
        </w:rPr>
        <w:t xml:space="preserve"> de démontrer</w:t>
      </w:r>
      <w:r w:rsidR="004E31AF">
        <w:rPr>
          <w:i/>
        </w:rPr>
        <w:t xml:space="preserve"> </w:t>
      </w:r>
      <w:r w:rsidR="00ED7752">
        <w:rPr>
          <w:i/>
        </w:rPr>
        <w:t>que le coût de la mo</w:t>
      </w:r>
      <w:r w:rsidR="0001181B">
        <w:rPr>
          <w:i/>
        </w:rPr>
        <w:t>dernisation des équipements de l’installation ne pourra pas être amorti sur la durée restante de vie de ladite installation</w:t>
      </w:r>
      <w:r w:rsidR="004E31AF">
        <w:rPr>
          <w:i/>
        </w:rPr>
        <w:t xml:space="preserve">. Ce cas se retrouve notamment pour les centrales dont les onduleurs et les SCADA relèvent de technologies anciennes </w:t>
      </w:r>
      <w:r w:rsidR="00E93CDB">
        <w:rPr>
          <w:i/>
        </w:rPr>
        <w:t xml:space="preserve">ne permettant pas le pilotage des installations à distance. </w:t>
      </w:r>
    </w:p>
    <w:p w14:paraId="5F6A170D" w14:textId="77777777" w:rsidR="00677C76" w:rsidRDefault="00677C76">
      <w:pPr>
        <w:jc w:val="both"/>
        <w:rPr>
          <w:i/>
        </w:rPr>
      </w:pPr>
    </w:p>
    <w:tbl>
      <w:tblPr>
        <w:tblW w:w="10065" w:type="dxa"/>
        <w:tblCellMar>
          <w:left w:w="0" w:type="dxa"/>
          <w:right w:w="0" w:type="dxa"/>
        </w:tblCellMar>
        <w:tblLook w:val="04A0" w:firstRow="1" w:lastRow="0" w:firstColumn="1" w:lastColumn="0" w:noHBand="0" w:noVBand="1"/>
      </w:tblPr>
      <w:tblGrid>
        <w:gridCol w:w="2410"/>
        <w:gridCol w:w="4848"/>
        <w:gridCol w:w="2807"/>
      </w:tblGrid>
      <w:tr w:rsidR="00E01F79" w14:paraId="20376416" w14:textId="77777777">
        <w:tc>
          <w:tcPr>
            <w:tcW w:w="2410" w:type="dxa"/>
          </w:tcPr>
          <w:p w14:paraId="27559583" w14:textId="77777777" w:rsidR="00E01F79" w:rsidRDefault="00E01F79">
            <w:pPr>
              <w:pStyle w:val="NormalWeb"/>
              <w:snapToGrid w:val="0"/>
              <w:spacing w:before="0"/>
              <w:jc w:val="center"/>
              <w:rPr>
                <w:sz w:val="20"/>
                <w:szCs w:val="20"/>
              </w:rPr>
            </w:pPr>
          </w:p>
          <w:p w14:paraId="19558308" w14:textId="77777777" w:rsidR="00E01F79" w:rsidRDefault="00E01F79">
            <w:pPr>
              <w:pStyle w:val="NormalWeb"/>
              <w:jc w:val="center"/>
              <w:rPr>
                <w:b/>
                <w:sz w:val="20"/>
                <w:szCs w:val="20"/>
              </w:rPr>
            </w:pPr>
            <w:r>
              <w:rPr>
                <w:b/>
                <w:sz w:val="20"/>
                <w:szCs w:val="20"/>
              </w:rPr>
              <w:t>Conseil supérieur      de l’énergie</w:t>
            </w:r>
          </w:p>
          <w:p w14:paraId="0090857A" w14:textId="77777777" w:rsidR="00E01F79" w:rsidRDefault="00E01F79">
            <w:pPr>
              <w:pStyle w:val="NormalWeb"/>
              <w:jc w:val="center"/>
              <w:rPr>
                <w:b/>
                <w:sz w:val="20"/>
                <w:szCs w:val="20"/>
              </w:rPr>
            </w:pPr>
            <w:r>
              <w:rPr>
                <w:b/>
                <w:sz w:val="20"/>
                <w:szCs w:val="20"/>
              </w:rPr>
              <w:t>-</w:t>
            </w:r>
          </w:p>
          <w:p w14:paraId="435D5C4E" w14:textId="77777777" w:rsidR="00E01F79" w:rsidRDefault="00E01F79">
            <w:pPr>
              <w:pStyle w:val="NormalWeb"/>
              <w:jc w:val="center"/>
            </w:pPr>
            <w:r>
              <w:rPr>
                <w:rStyle w:val="Accentuationforte"/>
                <w:b w:val="0"/>
                <w:sz w:val="20"/>
                <w:szCs w:val="20"/>
              </w:rPr>
              <w:t xml:space="preserve">Séance du </w:t>
            </w:r>
            <w:r w:rsidRPr="003F46F7">
              <w:rPr>
                <w:rStyle w:val="Accentuationforte"/>
                <w:bCs w:val="0"/>
                <w:sz w:val="20"/>
                <w:szCs w:val="20"/>
              </w:rPr>
              <w:t>30</w:t>
            </w:r>
            <w:r>
              <w:rPr>
                <w:rStyle w:val="Accentuationforte"/>
                <w:sz w:val="20"/>
                <w:szCs w:val="20"/>
              </w:rPr>
              <w:t xml:space="preserve"> juin 2026</w:t>
            </w:r>
          </w:p>
          <w:p w14:paraId="6FAB0502" w14:textId="77777777" w:rsidR="00E01F79" w:rsidRDefault="00E01F79">
            <w:pPr>
              <w:pStyle w:val="NormalWeb"/>
              <w:spacing w:after="0"/>
              <w:jc w:val="center"/>
            </w:pPr>
          </w:p>
        </w:tc>
        <w:tc>
          <w:tcPr>
            <w:tcW w:w="4848" w:type="dxa"/>
          </w:tcPr>
          <w:p w14:paraId="0EEC1FE1" w14:textId="77777777" w:rsidR="00E01F79" w:rsidRDefault="00E01F79">
            <w:pPr>
              <w:pStyle w:val="NormalWeb"/>
              <w:snapToGrid w:val="0"/>
              <w:spacing w:before="0"/>
              <w:jc w:val="center"/>
              <w:rPr>
                <w:sz w:val="20"/>
                <w:szCs w:val="20"/>
              </w:rPr>
            </w:pPr>
          </w:p>
          <w:p w14:paraId="138FC1D9" w14:textId="77777777" w:rsidR="00E01F79" w:rsidRPr="00761574" w:rsidRDefault="00E01F79">
            <w:pPr>
              <w:pStyle w:val="NormalWeb"/>
              <w:jc w:val="center"/>
              <w:rPr>
                <w:b/>
                <w:sz w:val="28"/>
                <w:szCs w:val="28"/>
              </w:rPr>
            </w:pPr>
            <w:r w:rsidRPr="00761574">
              <w:rPr>
                <w:b/>
                <w:sz w:val="28"/>
                <w:szCs w:val="28"/>
              </w:rPr>
              <w:t>Projet d’arrêté modifiant l’arrêté du 22 décembre 2025 relatif à l'application des II et IV C de l'article 175 de la loi n° 2025-127 du 14 février 2025 de finances pour 2025</w:t>
            </w:r>
          </w:p>
          <w:p w14:paraId="0D0C63C6" w14:textId="77777777" w:rsidR="00E01F79" w:rsidRDefault="00E01F79">
            <w:pPr>
              <w:pStyle w:val="NormalWeb"/>
              <w:jc w:val="center"/>
            </w:pPr>
          </w:p>
          <w:p w14:paraId="2F5C506A" w14:textId="77777777" w:rsidR="00E01F79" w:rsidRDefault="00E01F79">
            <w:pPr>
              <w:pStyle w:val="NormalWeb"/>
              <w:jc w:val="center"/>
            </w:pPr>
            <w:r>
              <w:rPr>
                <w:rStyle w:val="Accentuationforte"/>
                <w:sz w:val="20"/>
                <w:szCs w:val="20"/>
              </w:rPr>
              <w:t>AMENDEMENT N°</w:t>
            </w:r>
            <w:r w:rsidRPr="003F46F7">
              <w:rPr>
                <w:rStyle w:val="Accentuationforte"/>
                <w:sz w:val="20"/>
                <w:szCs w:val="20"/>
                <w:highlight w:val="yellow"/>
              </w:rPr>
              <w:t>XX</w:t>
            </w:r>
          </w:p>
          <w:p w14:paraId="0385AFCE" w14:textId="77777777" w:rsidR="00E01F79" w:rsidRDefault="00E01F79">
            <w:pPr>
              <w:pStyle w:val="NormalWeb"/>
              <w:jc w:val="center"/>
            </w:pPr>
            <w:r>
              <w:t xml:space="preserve">présenté par </w:t>
            </w:r>
          </w:p>
          <w:p w14:paraId="3AB61547" w14:textId="77777777" w:rsidR="00E01F79" w:rsidRDefault="00E01F79">
            <w:pPr>
              <w:pStyle w:val="NormalWeb"/>
              <w:spacing w:after="0"/>
              <w:jc w:val="center"/>
              <w:rPr>
                <w:sz w:val="20"/>
                <w:szCs w:val="20"/>
              </w:rPr>
            </w:pPr>
            <w:r w:rsidRPr="003F46F7">
              <w:rPr>
                <w:sz w:val="20"/>
                <w:szCs w:val="20"/>
                <w:highlight w:val="yellow"/>
              </w:rPr>
              <w:t>X</w:t>
            </w:r>
            <w:r w:rsidRPr="003F46F7">
              <w:rPr>
                <w:highlight w:val="yellow"/>
              </w:rPr>
              <w:t>XX</w:t>
            </w:r>
          </w:p>
        </w:tc>
        <w:tc>
          <w:tcPr>
            <w:tcW w:w="2807" w:type="dxa"/>
            <w:vAlign w:val="center"/>
          </w:tcPr>
          <w:p w14:paraId="765B1B68" w14:textId="412972B8" w:rsidR="00E01F79" w:rsidRPr="00761574" w:rsidRDefault="00E01F79">
            <w:pPr>
              <w:pStyle w:val="NormalWeb"/>
              <w:spacing w:after="0"/>
              <w:rPr>
                <w:sz w:val="40"/>
                <w:szCs w:val="40"/>
              </w:rPr>
            </w:pPr>
            <w:r w:rsidRPr="00761574">
              <w:rPr>
                <w:rStyle w:val="Accentuationforte"/>
                <w:sz w:val="40"/>
                <w:szCs w:val="40"/>
              </w:rPr>
              <w:t xml:space="preserve">Article : </w:t>
            </w:r>
            <w:r w:rsidRPr="00E01F79">
              <w:rPr>
                <w:rStyle w:val="Accentuationforte"/>
                <w:sz w:val="40"/>
                <w:szCs w:val="40"/>
                <w:highlight w:val="yellow"/>
              </w:rPr>
              <w:t>Nouveau 3</w:t>
            </w:r>
          </w:p>
        </w:tc>
      </w:tr>
    </w:tbl>
    <w:p w14:paraId="08076AD9" w14:textId="77777777" w:rsidR="00E01F79" w:rsidRDefault="00E01F79" w:rsidP="00E01F79">
      <w:pPr>
        <w:pBdr>
          <w:bottom w:val="single" w:sz="4" w:space="1" w:color="000000"/>
        </w:pBdr>
        <w:tabs>
          <w:tab w:val="left" w:pos="1407"/>
        </w:tabs>
        <w:jc w:val="center"/>
      </w:pPr>
    </w:p>
    <w:p w14:paraId="1F9ACBEB" w14:textId="77777777" w:rsidR="00E01F79" w:rsidRDefault="00E01F79" w:rsidP="00E01F79">
      <w:pPr>
        <w:jc w:val="center"/>
      </w:pPr>
    </w:p>
    <w:p w14:paraId="108DBBFC" w14:textId="77777777" w:rsidR="00E01F79" w:rsidRDefault="00E01F79" w:rsidP="00E01F79">
      <w:pPr>
        <w:jc w:val="both"/>
      </w:pPr>
    </w:p>
    <w:p w14:paraId="28715C35" w14:textId="53C3A846" w:rsidR="00E01F79" w:rsidRDefault="00E01F79" w:rsidP="00E01F79">
      <w:pPr>
        <w:jc w:val="both"/>
        <w:rPr>
          <w:i/>
          <w:iCs/>
        </w:rPr>
      </w:pPr>
      <w:r>
        <w:rPr>
          <w:b/>
          <w:bCs/>
        </w:rPr>
        <w:t xml:space="preserve">Objet : </w:t>
      </w:r>
      <w:r>
        <w:rPr>
          <w:i/>
          <w:iCs/>
        </w:rPr>
        <w:t>Possibilité de stocker puis restituer un électron en dehors de</w:t>
      </w:r>
      <w:r w:rsidR="00FC0F37">
        <w:rPr>
          <w:i/>
          <w:iCs/>
        </w:rPr>
        <w:t xml:space="preserve"> l’épisode </w:t>
      </w:r>
      <w:r>
        <w:rPr>
          <w:i/>
          <w:iCs/>
        </w:rPr>
        <w:t>d’arrêt ou de limitation demandé par l’acheteur obligé</w:t>
      </w:r>
    </w:p>
    <w:p w14:paraId="1FEB36CC" w14:textId="77777777" w:rsidR="00E01F79" w:rsidRDefault="00E01F79" w:rsidP="00E01F79">
      <w:pPr>
        <w:jc w:val="both"/>
      </w:pPr>
    </w:p>
    <w:p w14:paraId="1DA1E5E9" w14:textId="77777777" w:rsidR="00E01F79" w:rsidRDefault="00E01F79" w:rsidP="00E01F79">
      <w:pPr>
        <w:jc w:val="both"/>
        <w:rPr>
          <w:i/>
        </w:rPr>
      </w:pPr>
      <w:r>
        <w:rPr>
          <w:i/>
        </w:rPr>
        <w:t>Entre l’article 1 et l’article 2, ajouter l’article suivant :</w:t>
      </w:r>
    </w:p>
    <w:p w14:paraId="66FDDF27" w14:textId="77777777" w:rsidR="00E01F79" w:rsidRDefault="00E01F79" w:rsidP="00E01F79">
      <w:pPr>
        <w:jc w:val="both"/>
        <w:rPr>
          <w:i/>
        </w:rPr>
      </w:pPr>
      <w:r>
        <w:rPr>
          <w:i/>
        </w:rPr>
        <w:t xml:space="preserve"> </w:t>
      </w:r>
    </w:p>
    <w:p w14:paraId="3466CE42" w14:textId="77777777" w:rsidR="00E01F79" w:rsidRDefault="00E01F79" w:rsidP="00E01F79">
      <w:pPr>
        <w:jc w:val="both"/>
        <w:rPr>
          <w:i/>
        </w:rPr>
      </w:pPr>
      <w:r>
        <w:rPr>
          <w:i/>
        </w:rPr>
        <w:t>« Après le 2° de l’article II, ajouter l’alinéa suivant :  </w:t>
      </w:r>
    </w:p>
    <w:p w14:paraId="670393D0" w14:textId="77777777" w:rsidR="00E01F79" w:rsidRDefault="00E01F79" w:rsidP="00E01F79">
      <w:pPr>
        <w:jc w:val="both"/>
        <w:rPr>
          <w:i/>
        </w:rPr>
      </w:pPr>
    </w:p>
    <w:p w14:paraId="0F4A8A9A" w14:textId="4141E34A" w:rsidR="00E01F79" w:rsidRPr="002C46B4" w:rsidRDefault="00E01F79" w:rsidP="00E01F79">
      <w:pPr>
        <w:jc w:val="both"/>
        <w:rPr>
          <w:b/>
          <w:bCs/>
          <w:iCs/>
        </w:rPr>
      </w:pPr>
      <w:r>
        <w:rPr>
          <w:b/>
          <w:bCs/>
          <w:iCs/>
        </w:rPr>
        <w:t>« </w:t>
      </w:r>
      <w:r w:rsidR="00DF4D18" w:rsidRPr="00FE247E">
        <w:rPr>
          <w:b/>
          <w:bCs/>
          <w:iCs/>
          <w:color w:val="EE0000"/>
        </w:rPr>
        <w:t>Pendant chaque épisode d’arrêt ou de limitation</w:t>
      </w:r>
      <w:r w:rsidR="00C15735" w:rsidRPr="00FE247E">
        <w:rPr>
          <w:b/>
          <w:bCs/>
          <w:iCs/>
          <w:color w:val="EE0000"/>
        </w:rPr>
        <w:t>, le producteur peut stocker l’électricité</w:t>
      </w:r>
      <w:r w:rsidR="00CB14B2" w:rsidRPr="00FE247E">
        <w:rPr>
          <w:b/>
          <w:bCs/>
          <w:iCs/>
          <w:color w:val="EE0000"/>
        </w:rPr>
        <w:t xml:space="preserve"> produite par l’installation sous réserve de respecter l’ensemble</w:t>
      </w:r>
      <w:r w:rsidR="00C13AA9" w:rsidRPr="00FE247E">
        <w:rPr>
          <w:b/>
          <w:bCs/>
          <w:iCs/>
          <w:color w:val="EE0000"/>
        </w:rPr>
        <w:t xml:space="preserve"> des prescriptions du présent arrêt</w:t>
      </w:r>
      <w:r w:rsidR="008E49D8" w:rsidRPr="00FE247E">
        <w:rPr>
          <w:b/>
          <w:bCs/>
          <w:iCs/>
          <w:color w:val="EE0000"/>
        </w:rPr>
        <w:t>é.</w:t>
      </w:r>
      <w:r w:rsidR="009414F7" w:rsidRPr="00FE247E">
        <w:rPr>
          <w:b/>
          <w:bCs/>
          <w:iCs/>
          <w:color w:val="EE0000"/>
        </w:rPr>
        <w:t xml:space="preserve"> L’électricité stockée puis restituée en dehors de l’épisode d’arrêt ou de limitation, par exception au V. de l’article 2 du présent arrêté, </w:t>
      </w:r>
      <w:r w:rsidR="00FC4CE0" w:rsidRPr="00FE247E">
        <w:rPr>
          <w:b/>
          <w:bCs/>
          <w:iCs/>
          <w:color w:val="EE0000"/>
        </w:rPr>
        <w:t>est rémunéré au titre du contrat d’achat</w:t>
      </w:r>
      <w:r w:rsidR="00E43165" w:rsidRPr="00FE247E">
        <w:rPr>
          <w:b/>
          <w:bCs/>
          <w:iCs/>
          <w:color w:val="EE0000"/>
        </w:rPr>
        <w:t xml:space="preserve"> et est pris en compte dans le calcul de l’énergie plafonnée, de la durée </w:t>
      </w:r>
      <w:r w:rsidR="0086131D" w:rsidRPr="00FE247E">
        <w:rPr>
          <w:b/>
          <w:bCs/>
          <w:iCs/>
          <w:color w:val="EE0000"/>
        </w:rPr>
        <w:t xml:space="preserve">réelle </w:t>
      </w:r>
      <w:r w:rsidR="00E43165" w:rsidRPr="00FE247E">
        <w:rPr>
          <w:b/>
          <w:bCs/>
          <w:iCs/>
          <w:color w:val="EE0000"/>
        </w:rPr>
        <w:t>mensuelle de fonctionnement</w:t>
      </w:r>
      <w:r w:rsidR="0086131D" w:rsidRPr="00FE247E">
        <w:rPr>
          <w:b/>
          <w:bCs/>
          <w:iCs/>
          <w:color w:val="EE0000"/>
        </w:rPr>
        <w:t xml:space="preserve"> et la durée annuelle de fonctionnement.</w:t>
      </w:r>
      <w:r w:rsidR="00E43165" w:rsidRPr="00FE247E">
        <w:rPr>
          <w:b/>
          <w:bCs/>
          <w:iCs/>
          <w:color w:val="EE0000"/>
        </w:rPr>
        <w:t xml:space="preserve"> </w:t>
      </w:r>
      <w:r>
        <w:rPr>
          <w:b/>
          <w:bCs/>
          <w:iCs/>
        </w:rPr>
        <w:t>» »</w:t>
      </w:r>
    </w:p>
    <w:p w14:paraId="39B3E8F9" w14:textId="77777777" w:rsidR="00E01F79" w:rsidRDefault="00E01F79" w:rsidP="00E01F79">
      <w:pPr>
        <w:jc w:val="both"/>
        <w:rPr>
          <w:i/>
        </w:rPr>
      </w:pPr>
    </w:p>
    <w:p w14:paraId="45FD66AF" w14:textId="77777777" w:rsidR="00E01F79" w:rsidRDefault="00E01F79" w:rsidP="00E01F79">
      <w:pPr>
        <w:jc w:val="center"/>
        <w:rPr>
          <w:b/>
          <w:i/>
        </w:rPr>
      </w:pPr>
    </w:p>
    <w:p w14:paraId="25591354" w14:textId="77777777" w:rsidR="00E01F79" w:rsidRDefault="00E01F79" w:rsidP="00E01F79">
      <w:pPr>
        <w:jc w:val="center"/>
        <w:rPr>
          <w:b/>
          <w:i/>
        </w:rPr>
      </w:pPr>
    </w:p>
    <w:p w14:paraId="6547497E" w14:textId="77777777" w:rsidR="00E01F79" w:rsidRDefault="00E01F79" w:rsidP="00E01F79">
      <w:pPr>
        <w:jc w:val="center"/>
        <w:rPr>
          <w:b/>
          <w:i/>
        </w:rPr>
      </w:pPr>
    </w:p>
    <w:p w14:paraId="7ADB47A7" w14:textId="77777777" w:rsidR="00E01F79" w:rsidRDefault="00E01F79" w:rsidP="00E01F79">
      <w:pPr>
        <w:jc w:val="center"/>
        <w:rPr>
          <w:b/>
        </w:rPr>
      </w:pPr>
      <w:r>
        <w:rPr>
          <w:b/>
        </w:rPr>
        <w:t>Exposé des Motifs</w:t>
      </w:r>
    </w:p>
    <w:p w14:paraId="4958CC8D" w14:textId="77777777" w:rsidR="00E01F79" w:rsidRDefault="00E01F79" w:rsidP="00E01F79">
      <w:pPr>
        <w:jc w:val="both"/>
        <w:rPr>
          <w:b/>
        </w:rPr>
      </w:pPr>
    </w:p>
    <w:p w14:paraId="6EAC12DD" w14:textId="77777777" w:rsidR="00E01F79" w:rsidRDefault="00E01F79" w:rsidP="00E01F79">
      <w:pPr>
        <w:jc w:val="both"/>
        <w:rPr>
          <w:b/>
        </w:rPr>
      </w:pPr>
    </w:p>
    <w:p w14:paraId="095F01FC" w14:textId="4FA527B8" w:rsidR="00677C76" w:rsidRPr="00677C76" w:rsidRDefault="0086131D">
      <w:pPr>
        <w:jc w:val="both"/>
        <w:rPr>
          <w:iCs/>
        </w:rPr>
      </w:pPr>
      <w:r>
        <w:rPr>
          <w:i/>
        </w:rPr>
        <w:t xml:space="preserve">Cet amendement vise à autoriser explicitement le stockage de l’électricité </w:t>
      </w:r>
      <w:r w:rsidR="0010130A">
        <w:rPr>
          <w:i/>
        </w:rPr>
        <w:t xml:space="preserve">produite par les installations sous OA concernées par ce projet d’arrêté </w:t>
      </w:r>
      <w:r>
        <w:rPr>
          <w:i/>
        </w:rPr>
        <w:t>pendant les épisodes d’arrêt ou de limitation liés aux prix négatifs</w:t>
      </w:r>
      <w:r w:rsidR="0010130A">
        <w:rPr>
          <w:i/>
        </w:rPr>
        <w:t>. Il permettrait ainsi de</w:t>
      </w:r>
      <w:r>
        <w:rPr>
          <w:i/>
        </w:rPr>
        <w:t xml:space="preserve"> restituer </w:t>
      </w:r>
      <w:r w:rsidR="0010130A">
        <w:rPr>
          <w:i/>
        </w:rPr>
        <w:t xml:space="preserve">l’électricité stockée </w:t>
      </w:r>
      <w:r>
        <w:rPr>
          <w:i/>
        </w:rPr>
        <w:t xml:space="preserve">aux heures de pointes de consommation, correspondant à des prix positifs sur le marché de gros. </w:t>
      </w:r>
      <w:r w:rsidR="007C0C83">
        <w:rPr>
          <w:i/>
        </w:rPr>
        <w:t xml:space="preserve">Ces électrons, au lieu d’être écrêtés et perdus pour la collectivité, seront mis au bénéfice de tous pour la décarbonation de notre mix électrique. </w:t>
      </w:r>
    </w:p>
    <w:p w14:paraId="68F68741" w14:textId="77777777" w:rsidR="00CC6C26" w:rsidRDefault="00CC6C26">
      <w:pPr>
        <w:jc w:val="both"/>
        <w:rPr>
          <w:i/>
        </w:rPr>
      </w:pPr>
    </w:p>
    <w:p w14:paraId="54AFBD47" w14:textId="77777777" w:rsidR="00CC6C26" w:rsidRDefault="00CC6C26">
      <w:pPr>
        <w:jc w:val="both"/>
        <w:rPr>
          <w:i/>
        </w:rPr>
      </w:pPr>
    </w:p>
    <w:p w14:paraId="74FD1F83" w14:textId="77777777" w:rsidR="00CC6C26" w:rsidRDefault="00CC6C26">
      <w:pPr>
        <w:jc w:val="both"/>
        <w:rPr>
          <w:i/>
        </w:rPr>
      </w:pPr>
    </w:p>
    <w:p w14:paraId="2DAED2D0" w14:textId="77777777" w:rsidR="00CC6C26" w:rsidRDefault="00CC6C26">
      <w:pPr>
        <w:jc w:val="both"/>
        <w:rPr>
          <w:i/>
        </w:rPr>
      </w:pPr>
    </w:p>
    <w:p w14:paraId="11EF1786" w14:textId="77777777" w:rsidR="00AC155D" w:rsidRDefault="00E534A2">
      <w:pPr>
        <w:suppressAutoHyphens w:val="0"/>
        <w:rPr>
          <w:i/>
        </w:rPr>
      </w:pPr>
      <w:r>
        <w:rPr>
          <w:i/>
        </w:rPr>
        <w:br w:type="page"/>
      </w:r>
    </w:p>
    <w:tbl>
      <w:tblPr>
        <w:tblW w:w="10065" w:type="dxa"/>
        <w:tblCellMar>
          <w:left w:w="0" w:type="dxa"/>
          <w:right w:w="0" w:type="dxa"/>
        </w:tblCellMar>
        <w:tblLook w:val="04A0" w:firstRow="1" w:lastRow="0" w:firstColumn="1" w:lastColumn="0" w:noHBand="0" w:noVBand="1"/>
      </w:tblPr>
      <w:tblGrid>
        <w:gridCol w:w="2410"/>
        <w:gridCol w:w="4848"/>
        <w:gridCol w:w="2807"/>
      </w:tblGrid>
      <w:tr w:rsidR="00AC155D" w14:paraId="3A168F40" w14:textId="77777777">
        <w:tc>
          <w:tcPr>
            <w:tcW w:w="2410" w:type="dxa"/>
          </w:tcPr>
          <w:p w14:paraId="1C663C2F" w14:textId="77777777" w:rsidR="00AC155D" w:rsidRDefault="00AC155D">
            <w:pPr>
              <w:pStyle w:val="NormalWeb"/>
              <w:snapToGrid w:val="0"/>
              <w:spacing w:before="0"/>
              <w:jc w:val="center"/>
              <w:rPr>
                <w:sz w:val="20"/>
                <w:szCs w:val="20"/>
              </w:rPr>
            </w:pPr>
          </w:p>
          <w:p w14:paraId="191F9C03" w14:textId="77777777" w:rsidR="00AC155D" w:rsidRDefault="00AC155D">
            <w:pPr>
              <w:pStyle w:val="NormalWeb"/>
              <w:jc w:val="center"/>
              <w:rPr>
                <w:b/>
                <w:sz w:val="20"/>
                <w:szCs w:val="20"/>
              </w:rPr>
            </w:pPr>
            <w:r>
              <w:rPr>
                <w:b/>
                <w:sz w:val="20"/>
                <w:szCs w:val="20"/>
              </w:rPr>
              <w:t>Conseil supérieur      de l’énergie</w:t>
            </w:r>
          </w:p>
          <w:p w14:paraId="6CB0D6C2" w14:textId="77777777" w:rsidR="00AC155D" w:rsidRDefault="00AC155D">
            <w:pPr>
              <w:pStyle w:val="NormalWeb"/>
              <w:jc w:val="center"/>
              <w:rPr>
                <w:b/>
                <w:sz w:val="20"/>
                <w:szCs w:val="20"/>
              </w:rPr>
            </w:pPr>
            <w:r>
              <w:rPr>
                <w:b/>
                <w:sz w:val="20"/>
                <w:szCs w:val="20"/>
              </w:rPr>
              <w:t>-</w:t>
            </w:r>
          </w:p>
          <w:p w14:paraId="572BCF1B" w14:textId="77777777" w:rsidR="00AC155D" w:rsidRDefault="00AC155D">
            <w:pPr>
              <w:pStyle w:val="NormalWeb"/>
              <w:jc w:val="center"/>
            </w:pPr>
            <w:r>
              <w:rPr>
                <w:rStyle w:val="Accentuationforte"/>
                <w:b w:val="0"/>
                <w:sz w:val="20"/>
                <w:szCs w:val="20"/>
              </w:rPr>
              <w:t xml:space="preserve">Séance du </w:t>
            </w:r>
            <w:r w:rsidRPr="003F46F7">
              <w:rPr>
                <w:rStyle w:val="Accentuationforte"/>
                <w:bCs w:val="0"/>
                <w:sz w:val="20"/>
                <w:szCs w:val="20"/>
              </w:rPr>
              <w:t>30</w:t>
            </w:r>
            <w:r>
              <w:rPr>
                <w:rStyle w:val="Accentuationforte"/>
                <w:sz w:val="20"/>
                <w:szCs w:val="20"/>
              </w:rPr>
              <w:t xml:space="preserve"> juin 2026</w:t>
            </w:r>
          </w:p>
          <w:p w14:paraId="46B517C0" w14:textId="77777777" w:rsidR="00AC155D" w:rsidRDefault="00AC155D">
            <w:pPr>
              <w:pStyle w:val="NormalWeb"/>
              <w:spacing w:after="0"/>
              <w:jc w:val="center"/>
            </w:pPr>
          </w:p>
        </w:tc>
        <w:tc>
          <w:tcPr>
            <w:tcW w:w="4848" w:type="dxa"/>
          </w:tcPr>
          <w:p w14:paraId="2C5CEB88" w14:textId="77777777" w:rsidR="00AC155D" w:rsidRDefault="00AC155D">
            <w:pPr>
              <w:pStyle w:val="NormalWeb"/>
              <w:snapToGrid w:val="0"/>
              <w:spacing w:before="0"/>
              <w:jc w:val="center"/>
              <w:rPr>
                <w:sz w:val="20"/>
                <w:szCs w:val="20"/>
              </w:rPr>
            </w:pPr>
          </w:p>
          <w:p w14:paraId="03C47E87" w14:textId="77777777" w:rsidR="00AC155D" w:rsidRPr="00761574" w:rsidRDefault="00AC155D">
            <w:pPr>
              <w:pStyle w:val="NormalWeb"/>
              <w:jc w:val="center"/>
              <w:rPr>
                <w:b/>
                <w:sz w:val="28"/>
                <w:szCs w:val="28"/>
              </w:rPr>
            </w:pPr>
            <w:r w:rsidRPr="00761574">
              <w:rPr>
                <w:b/>
                <w:sz w:val="28"/>
                <w:szCs w:val="28"/>
              </w:rPr>
              <w:t>Projet d’arrêté modifiant l’arrêté du 22 décembre 2025 relatif à l'application des II et IV C de l'article 175 de la loi n° 2025-127 du 14 février 2025 de finances pour 2025</w:t>
            </w:r>
          </w:p>
          <w:p w14:paraId="2436A469" w14:textId="77777777" w:rsidR="00AC155D" w:rsidRDefault="00AC155D">
            <w:pPr>
              <w:pStyle w:val="NormalWeb"/>
              <w:jc w:val="center"/>
            </w:pPr>
          </w:p>
          <w:p w14:paraId="5F4E1FCB" w14:textId="77777777" w:rsidR="00AC155D" w:rsidRDefault="00AC155D">
            <w:pPr>
              <w:pStyle w:val="NormalWeb"/>
              <w:jc w:val="center"/>
            </w:pPr>
            <w:r>
              <w:rPr>
                <w:rStyle w:val="Accentuationforte"/>
                <w:sz w:val="20"/>
                <w:szCs w:val="20"/>
              </w:rPr>
              <w:t>AMENDEMENT N°</w:t>
            </w:r>
            <w:r w:rsidRPr="003F46F7">
              <w:rPr>
                <w:rStyle w:val="Accentuationforte"/>
                <w:sz w:val="20"/>
                <w:szCs w:val="20"/>
                <w:highlight w:val="yellow"/>
              </w:rPr>
              <w:t>XX</w:t>
            </w:r>
          </w:p>
          <w:p w14:paraId="53268BCE" w14:textId="77777777" w:rsidR="00AC155D" w:rsidRDefault="00AC155D">
            <w:pPr>
              <w:pStyle w:val="NormalWeb"/>
              <w:jc w:val="center"/>
            </w:pPr>
            <w:r>
              <w:t xml:space="preserve">présenté par </w:t>
            </w:r>
          </w:p>
          <w:p w14:paraId="08CE4E9B" w14:textId="77777777" w:rsidR="00AC155D" w:rsidRDefault="00AC155D">
            <w:pPr>
              <w:pStyle w:val="NormalWeb"/>
              <w:spacing w:after="0"/>
              <w:jc w:val="center"/>
              <w:rPr>
                <w:sz w:val="20"/>
                <w:szCs w:val="20"/>
              </w:rPr>
            </w:pPr>
            <w:r w:rsidRPr="003F46F7">
              <w:rPr>
                <w:sz w:val="20"/>
                <w:szCs w:val="20"/>
                <w:highlight w:val="yellow"/>
              </w:rPr>
              <w:t>X</w:t>
            </w:r>
            <w:r w:rsidRPr="003F46F7">
              <w:rPr>
                <w:highlight w:val="yellow"/>
              </w:rPr>
              <w:t>XX</w:t>
            </w:r>
          </w:p>
        </w:tc>
        <w:tc>
          <w:tcPr>
            <w:tcW w:w="2807" w:type="dxa"/>
            <w:vAlign w:val="center"/>
          </w:tcPr>
          <w:p w14:paraId="6DAA51F1" w14:textId="0E3D9792" w:rsidR="00AC155D" w:rsidRPr="00761574" w:rsidRDefault="00AC155D">
            <w:pPr>
              <w:pStyle w:val="NormalWeb"/>
              <w:spacing w:after="0"/>
              <w:rPr>
                <w:sz w:val="40"/>
                <w:szCs w:val="40"/>
              </w:rPr>
            </w:pPr>
            <w:r w:rsidRPr="00761574">
              <w:rPr>
                <w:rStyle w:val="Accentuationforte"/>
                <w:sz w:val="40"/>
                <w:szCs w:val="40"/>
              </w:rPr>
              <w:t xml:space="preserve">Article : </w:t>
            </w:r>
            <w:r w:rsidRPr="00E01F79">
              <w:rPr>
                <w:rStyle w:val="Accentuationforte"/>
                <w:sz w:val="40"/>
                <w:szCs w:val="40"/>
                <w:highlight w:val="yellow"/>
              </w:rPr>
              <w:t xml:space="preserve">Nouveau </w:t>
            </w:r>
            <w:r w:rsidR="00D57D33">
              <w:rPr>
                <w:rStyle w:val="Accentuationforte"/>
                <w:sz w:val="40"/>
                <w:szCs w:val="40"/>
              </w:rPr>
              <w:t>5</w:t>
            </w:r>
          </w:p>
        </w:tc>
      </w:tr>
    </w:tbl>
    <w:p w14:paraId="0E82581B" w14:textId="77777777" w:rsidR="00AC155D" w:rsidRDefault="00AC155D" w:rsidP="00AC155D">
      <w:pPr>
        <w:pBdr>
          <w:bottom w:val="single" w:sz="4" w:space="1" w:color="000000"/>
        </w:pBdr>
        <w:tabs>
          <w:tab w:val="left" w:pos="1407"/>
        </w:tabs>
        <w:jc w:val="center"/>
      </w:pPr>
    </w:p>
    <w:p w14:paraId="397AACB8" w14:textId="77777777" w:rsidR="00AC155D" w:rsidRDefault="00AC155D" w:rsidP="00AC155D">
      <w:pPr>
        <w:jc w:val="center"/>
      </w:pPr>
    </w:p>
    <w:p w14:paraId="3240EF6D" w14:textId="77777777" w:rsidR="00AC155D" w:rsidRDefault="00AC155D" w:rsidP="00AC155D">
      <w:pPr>
        <w:jc w:val="both"/>
      </w:pPr>
    </w:p>
    <w:p w14:paraId="002E079C" w14:textId="000D6A0A" w:rsidR="00AC155D" w:rsidRDefault="00AC155D" w:rsidP="00AC155D">
      <w:pPr>
        <w:jc w:val="both"/>
        <w:rPr>
          <w:i/>
          <w:iCs/>
        </w:rPr>
      </w:pPr>
      <w:r>
        <w:rPr>
          <w:b/>
          <w:bCs/>
        </w:rPr>
        <w:t xml:space="preserve">Objet : </w:t>
      </w:r>
      <w:r w:rsidR="00D57D33">
        <w:rPr>
          <w:i/>
          <w:iCs/>
        </w:rPr>
        <w:t xml:space="preserve">Réalisation impérative d’une étude d’impact avant tout abaissement du seuil </w:t>
      </w:r>
      <w:r w:rsidR="009E6E29">
        <w:rPr>
          <w:i/>
          <w:iCs/>
        </w:rPr>
        <w:t xml:space="preserve">inscrit </w:t>
      </w:r>
      <w:r w:rsidR="00B47BF6">
        <w:rPr>
          <w:i/>
          <w:iCs/>
        </w:rPr>
        <w:t>au deuxième alinéa</w:t>
      </w:r>
      <w:r w:rsidR="00166627">
        <w:rPr>
          <w:i/>
          <w:iCs/>
        </w:rPr>
        <w:t xml:space="preserve"> du II. de</w:t>
      </w:r>
      <w:r w:rsidR="0056322B">
        <w:rPr>
          <w:i/>
          <w:iCs/>
        </w:rPr>
        <w:t xml:space="preserve"> l’article 175 de la Loi de Finances pour 2025</w:t>
      </w:r>
    </w:p>
    <w:p w14:paraId="00E6AB71" w14:textId="77777777" w:rsidR="00AC155D" w:rsidRDefault="00AC155D" w:rsidP="00AC155D">
      <w:pPr>
        <w:jc w:val="both"/>
      </w:pPr>
    </w:p>
    <w:p w14:paraId="2C4BB145" w14:textId="15CDC283" w:rsidR="00AC155D" w:rsidRDefault="00AC155D" w:rsidP="00AC155D">
      <w:pPr>
        <w:jc w:val="both"/>
        <w:rPr>
          <w:i/>
        </w:rPr>
      </w:pPr>
      <w:r>
        <w:rPr>
          <w:i/>
        </w:rPr>
        <w:t xml:space="preserve">Entre l’article </w:t>
      </w:r>
      <w:r w:rsidR="000D791F">
        <w:rPr>
          <w:i/>
        </w:rPr>
        <w:t>2</w:t>
      </w:r>
      <w:r>
        <w:rPr>
          <w:i/>
        </w:rPr>
        <w:t xml:space="preserve"> et l’article </w:t>
      </w:r>
      <w:r w:rsidR="000D791F">
        <w:rPr>
          <w:i/>
        </w:rPr>
        <w:t>3</w:t>
      </w:r>
      <w:r>
        <w:rPr>
          <w:i/>
        </w:rPr>
        <w:t>, ajouter l’article suivant :</w:t>
      </w:r>
    </w:p>
    <w:p w14:paraId="6EDC7426" w14:textId="77777777" w:rsidR="00AC155D" w:rsidRDefault="00AC155D" w:rsidP="00AC155D">
      <w:pPr>
        <w:jc w:val="both"/>
        <w:rPr>
          <w:i/>
        </w:rPr>
      </w:pPr>
      <w:r>
        <w:rPr>
          <w:i/>
        </w:rPr>
        <w:t xml:space="preserve"> </w:t>
      </w:r>
    </w:p>
    <w:p w14:paraId="1A60D14A" w14:textId="5D20CACD" w:rsidR="00AC155D" w:rsidRDefault="00AC155D" w:rsidP="00AC155D">
      <w:pPr>
        <w:jc w:val="both"/>
        <w:rPr>
          <w:i/>
        </w:rPr>
      </w:pPr>
      <w:r>
        <w:rPr>
          <w:i/>
        </w:rPr>
        <w:t xml:space="preserve">« </w:t>
      </w:r>
      <w:r w:rsidR="00472648">
        <w:rPr>
          <w:i/>
        </w:rPr>
        <w:t xml:space="preserve">Après </w:t>
      </w:r>
      <w:r w:rsidR="002E6F62">
        <w:rPr>
          <w:i/>
        </w:rPr>
        <w:t>le deuxième alinéa du 2° du I. de l’article 2, ajouter l’alinéa suivant</w:t>
      </w:r>
      <w:r>
        <w:rPr>
          <w:i/>
        </w:rPr>
        <w:t> :  </w:t>
      </w:r>
    </w:p>
    <w:p w14:paraId="0F49C48D" w14:textId="77777777" w:rsidR="00AC155D" w:rsidRDefault="00AC155D" w:rsidP="00AC155D">
      <w:pPr>
        <w:jc w:val="both"/>
        <w:rPr>
          <w:i/>
        </w:rPr>
      </w:pPr>
    </w:p>
    <w:p w14:paraId="1C05FF56" w14:textId="083ADE11" w:rsidR="00AC155D" w:rsidRPr="002C46B4" w:rsidRDefault="00AC155D" w:rsidP="0182A3E9">
      <w:pPr>
        <w:jc w:val="both"/>
        <w:rPr>
          <w:b/>
          <w:bCs/>
        </w:rPr>
      </w:pPr>
      <w:r w:rsidRPr="0182A3E9">
        <w:rPr>
          <w:b/>
          <w:bCs/>
        </w:rPr>
        <w:t>« </w:t>
      </w:r>
      <w:r w:rsidR="002E6F62" w:rsidRPr="00FE247E">
        <w:rPr>
          <w:b/>
          <w:bCs/>
          <w:color w:val="EE0000"/>
        </w:rPr>
        <w:t xml:space="preserve">Si </w:t>
      </w:r>
      <w:r w:rsidR="008003F9" w:rsidRPr="00FE247E">
        <w:rPr>
          <w:b/>
          <w:bCs/>
          <w:color w:val="EE0000"/>
        </w:rPr>
        <w:t>les seuils mentionnés</w:t>
      </w:r>
      <w:r w:rsidR="002E6F62" w:rsidRPr="00FE247E">
        <w:rPr>
          <w:b/>
          <w:bCs/>
          <w:color w:val="EE0000"/>
        </w:rPr>
        <w:t xml:space="preserve"> </w:t>
      </w:r>
      <w:r w:rsidR="00276CC8" w:rsidRPr="00FE247E">
        <w:rPr>
          <w:b/>
          <w:bCs/>
          <w:color w:val="EE0000"/>
        </w:rPr>
        <w:t xml:space="preserve">à l’alinéa précédent sont respectivement inférieurs à </w:t>
      </w:r>
      <w:commentRangeStart w:id="2"/>
      <w:r w:rsidR="00276CC8" w:rsidRPr="00FE247E">
        <w:rPr>
          <w:b/>
          <w:bCs/>
          <w:color w:val="EE0000"/>
          <w:highlight w:val="yellow"/>
        </w:rPr>
        <w:t>10 mégawatts</w:t>
      </w:r>
      <w:r w:rsidR="00A64429" w:rsidRPr="00FE247E">
        <w:rPr>
          <w:b/>
          <w:bCs/>
          <w:color w:val="EE0000"/>
          <w:highlight w:val="yellow"/>
        </w:rPr>
        <w:t>-crête</w:t>
      </w:r>
      <w:r w:rsidR="00A64429" w:rsidRPr="00FE247E">
        <w:rPr>
          <w:b/>
          <w:bCs/>
          <w:color w:val="EE0000"/>
        </w:rPr>
        <w:t xml:space="preserve"> pour les installations dont la puissance installée est définie en mégawatts-crête </w:t>
      </w:r>
      <w:r w:rsidR="00A64429" w:rsidRPr="00FE247E">
        <w:rPr>
          <w:b/>
          <w:bCs/>
          <w:color w:val="EE0000"/>
          <w:highlight w:val="yellow"/>
        </w:rPr>
        <w:t>et 10 mégawatts pour les autres</w:t>
      </w:r>
      <w:r w:rsidR="00A64429" w:rsidRPr="00FE247E">
        <w:rPr>
          <w:b/>
          <w:bCs/>
          <w:color w:val="EE0000"/>
        </w:rPr>
        <w:t xml:space="preserve">, </w:t>
      </w:r>
      <w:commentRangeEnd w:id="2"/>
      <w:r w:rsidR="007F7942" w:rsidRPr="00FE247E">
        <w:rPr>
          <w:rStyle w:val="Marquedecommentaire"/>
          <w:b/>
          <w:bCs/>
          <w:color w:val="EE0000"/>
          <w:sz w:val="24"/>
          <w:szCs w:val="24"/>
        </w:rPr>
        <w:commentReference w:id="2"/>
      </w:r>
      <w:r w:rsidR="008003F9" w:rsidRPr="00FE247E">
        <w:rPr>
          <w:b/>
          <w:bCs/>
          <w:color w:val="EE0000"/>
        </w:rPr>
        <w:t>l’acheteur obligé doit avant toute demande</w:t>
      </w:r>
      <w:r w:rsidR="00144EF8" w:rsidRPr="00FE247E">
        <w:rPr>
          <w:b/>
          <w:bCs/>
          <w:color w:val="EE0000"/>
        </w:rPr>
        <w:t xml:space="preserve"> d’arrêt ou de limitation fournir une étude d’impact </w:t>
      </w:r>
      <w:r w:rsidR="00336400" w:rsidRPr="00FE247E">
        <w:rPr>
          <w:b/>
          <w:bCs/>
          <w:color w:val="EE0000"/>
        </w:rPr>
        <w:t>justifiant la réalisation d’une analyses coûts-bénéfices</w:t>
      </w:r>
      <w:r w:rsidR="00170E74" w:rsidRPr="00FE247E">
        <w:rPr>
          <w:b/>
          <w:bCs/>
          <w:color w:val="EE0000"/>
        </w:rPr>
        <w:t xml:space="preserve"> positive</w:t>
      </w:r>
      <w:r w:rsidR="00336400" w:rsidRPr="00FE247E">
        <w:rPr>
          <w:b/>
          <w:bCs/>
          <w:color w:val="EE0000"/>
        </w:rPr>
        <w:t xml:space="preserve"> pour le système électrique</w:t>
      </w:r>
      <w:r w:rsidR="00170E74" w:rsidRPr="00FE247E">
        <w:rPr>
          <w:b/>
          <w:bCs/>
          <w:color w:val="EE0000"/>
        </w:rPr>
        <w:t xml:space="preserve"> </w:t>
      </w:r>
      <w:r w:rsidR="67AF37D0" w:rsidRPr="00FE247E">
        <w:rPr>
          <w:b/>
          <w:bCs/>
          <w:color w:val="EE0000"/>
        </w:rPr>
        <w:t xml:space="preserve">ou pour son périmètre d’équilibre </w:t>
      </w:r>
      <w:r w:rsidR="00170E74" w:rsidRPr="00FE247E">
        <w:rPr>
          <w:b/>
          <w:bCs/>
          <w:color w:val="EE0000"/>
        </w:rPr>
        <w:t>de mobiliser des investissement</w:t>
      </w:r>
      <w:r w:rsidR="003B5D88" w:rsidRPr="00FE247E">
        <w:rPr>
          <w:b/>
          <w:bCs/>
          <w:color w:val="EE0000"/>
        </w:rPr>
        <w:t>s</w:t>
      </w:r>
      <w:r w:rsidR="00170E74" w:rsidRPr="00FE247E">
        <w:rPr>
          <w:b/>
          <w:bCs/>
          <w:color w:val="EE0000"/>
        </w:rPr>
        <w:t xml:space="preserve"> supplémentaires pour </w:t>
      </w:r>
      <w:r w:rsidR="00DB645F" w:rsidRPr="00FE247E">
        <w:rPr>
          <w:b/>
          <w:bCs/>
          <w:color w:val="EE0000"/>
        </w:rPr>
        <w:t xml:space="preserve">respecter les éventuels ordres d’arrêt ou de limitation formulés dans le cadre du présent projet d’arrêté </w:t>
      </w:r>
      <w:r w:rsidRPr="0182A3E9">
        <w:rPr>
          <w:b/>
          <w:bCs/>
        </w:rPr>
        <w:t>» »</w:t>
      </w:r>
    </w:p>
    <w:p w14:paraId="2D213CDE" w14:textId="77777777" w:rsidR="00AC155D" w:rsidRDefault="00AC155D" w:rsidP="00AC155D">
      <w:pPr>
        <w:jc w:val="both"/>
        <w:rPr>
          <w:i/>
        </w:rPr>
      </w:pPr>
    </w:p>
    <w:p w14:paraId="6F28D415" w14:textId="77777777" w:rsidR="00AC155D" w:rsidRDefault="00AC155D" w:rsidP="00AC155D">
      <w:pPr>
        <w:jc w:val="center"/>
        <w:rPr>
          <w:b/>
          <w:i/>
        </w:rPr>
      </w:pPr>
    </w:p>
    <w:p w14:paraId="0C5D15C1" w14:textId="77777777" w:rsidR="00AC155D" w:rsidRDefault="00AC155D" w:rsidP="00AC155D">
      <w:pPr>
        <w:jc w:val="center"/>
        <w:rPr>
          <w:b/>
          <w:i/>
        </w:rPr>
      </w:pPr>
    </w:p>
    <w:p w14:paraId="6A1844C8" w14:textId="77777777" w:rsidR="00AC155D" w:rsidRDefault="00AC155D" w:rsidP="00AC155D">
      <w:pPr>
        <w:jc w:val="center"/>
        <w:rPr>
          <w:b/>
          <w:i/>
        </w:rPr>
      </w:pPr>
    </w:p>
    <w:p w14:paraId="4013AB49" w14:textId="77777777" w:rsidR="00AC155D" w:rsidRDefault="00AC155D" w:rsidP="00AC155D">
      <w:pPr>
        <w:jc w:val="center"/>
        <w:rPr>
          <w:b/>
        </w:rPr>
      </w:pPr>
      <w:r>
        <w:rPr>
          <w:b/>
        </w:rPr>
        <w:t>Exposé des Motifs</w:t>
      </w:r>
    </w:p>
    <w:p w14:paraId="4D9EE84F" w14:textId="77777777" w:rsidR="00AC155D" w:rsidRDefault="00AC155D" w:rsidP="00AC155D">
      <w:pPr>
        <w:jc w:val="both"/>
        <w:rPr>
          <w:b/>
        </w:rPr>
      </w:pPr>
    </w:p>
    <w:p w14:paraId="644301E7" w14:textId="77777777" w:rsidR="00AC155D" w:rsidRDefault="00AC155D" w:rsidP="00AC155D">
      <w:pPr>
        <w:jc w:val="both"/>
        <w:rPr>
          <w:b/>
        </w:rPr>
      </w:pPr>
    </w:p>
    <w:p w14:paraId="26DA3088" w14:textId="57CF11EF" w:rsidR="00E534A2" w:rsidRDefault="002A1AE0" w:rsidP="0182A3E9">
      <w:pPr>
        <w:suppressAutoHyphens w:val="0"/>
        <w:jc w:val="both"/>
        <w:rPr>
          <w:i/>
          <w:iCs/>
        </w:rPr>
      </w:pPr>
      <w:r w:rsidRPr="0182A3E9">
        <w:rPr>
          <w:i/>
          <w:iCs/>
        </w:rPr>
        <w:t xml:space="preserve">Cet amendement vise à demander à l’acheteur obligé, accompagné par les gestionnaires de réseaux et l’administration, </w:t>
      </w:r>
      <w:r w:rsidR="00C14A4E" w:rsidRPr="0182A3E9">
        <w:rPr>
          <w:i/>
          <w:iCs/>
        </w:rPr>
        <w:t>de</w:t>
      </w:r>
      <w:r w:rsidRPr="0182A3E9">
        <w:rPr>
          <w:i/>
          <w:iCs/>
        </w:rPr>
        <w:t xml:space="preserve"> </w:t>
      </w:r>
      <w:r w:rsidR="00C14A4E" w:rsidRPr="0182A3E9">
        <w:rPr>
          <w:i/>
          <w:iCs/>
        </w:rPr>
        <w:t>réaliser</w:t>
      </w:r>
      <w:r w:rsidRPr="0182A3E9">
        <w:rPr>
          <w:i/>
          <w:iCs/>
        </w:rPr>
        <w:t xml:space="preserve"> une étude d’impact rigoureuse </w:t>
      </w:r>
      <w:r w:rsidR="00C14A4E" w:rsidRPr="0182A3E9">
        <w:rPr>
          <w:i/>
          <w:iCs/>
        </w:rPr>
        <w:t xml:space="preserve">analysant les bénéfices pour le système électrique </w:t>
      </w:r>
      <w:r w:rsidR="58161F1F" w:rsidRPr="0182A3E9">
        <w:rPr>
          <w:i/>
          <w:iCs/>
        </w:rPr>
        <w:t xml:space="preserve">ou pour son périmètre d’équilibre </w:t>
      </w:r>
      <w:r w:rsidR="00C14A4E" w:rsidRPr="0182A3E9">
        <w:rPr>
          <w:i/>
          <w:iCs/>
        </w:rPr>
        <w:t xml:space="preserve">de mobiliser un panel toujours plus large d’installations sous obligation d’achat pour la gestion des épisodes de prix négatifs. </w:t>
      </w:r>
    </w:p>
    <w:p w14:paraId="02995251" w14:textId="77777777" w:rsidR="00C14A4E" w:rsidRDefault="00C14A4E" w:rsidP="00271D15">
      <w:pPr>
        <w:suppressAutoHyphens w:val="0"/>
        <w:jc w:val="both"/>
        <w:rPr>
          <w:i/>
        </w:rPr>
      </w:pPr>
    </w:p>
    <w:p w14:paraId="0C82D3FE" w14:textId="5C5B691C" w:rsidR="00C14A4E" w:rsidRDefault="00C14A4E" w:rsidP="00271D15">
      <w:pPr>
        <w:suppressAutoHyphens w:val="0"/>
        <w:jc w:val="both"/>
        <w:rPr>
          <w:i/>
        </w:rPr>
      </w:pPr>
      <w:r>
        <w:rPr>
          <w:i/>
        </w:rPr>
        <w:t xml:space="preserve">Les filières renouvelables électriques sont pleinement conscientes de leur </w:t>
      </w:r>
      <w:r w:rsidR="00B17BB9">
        <w:rPr>
          <w:i/>
        </w:rPr>
        <w:t>rôle à jouer dans la gestion de l’équilibre offre-demande sur les réseaux</w:t>
      </w:r>
      <w:r w:rsidR="00097F7A">
        <w:rPr>
          <w:i/>
        </w:rPr>
        <w:t xml:space="preserve"> électriques. C’est dans cet esprit que la filière a travaillé collectivement </w:t>
      </w:r>
      <w:r w:rsidR="00E4230A">
        <w:rPr>
          <w:i/>
        </w:rPr>
        <w:t>et consenti à des investissements afin de flexibiliser</w:t>
      </w:r>
      <w:r w:rsidR="00097F7A">
        <w:rPr>
          <w:i/>
        </w:rPr>
        <w:t xml:space="preserve"> </w:t>
      </w:r>
      <w:r w:rsidR="00E4230A">
        <w:rPr>
          <w:i/>
        </w:rPr>
        <w:t>l</w:t>
      </w:r>
      <w:r w:rsidR="00097F7A">
        <w:rPr>
          <w:i/>
        </w:rPr>
        <w:t>es actifs sous obligation d’achat (OA)</w:t>
      </w:r>
      <w:r w:rsidR="00E4230A">
        <w:rPr>
          <w:i/>
        </w:rPr>
        <w:t xml:space="preserve">. Nous regrettons toutefois </w:t>
      </w:r>
      <w:r w:rsidR="008F74ED">
        <w:rPr>
          <w:i/>
        </w:rPr>
        <w:t>l’absence de concertatio</w:t>
      </w:r>
      <w:r w:rsidR="00F04FE3">
        <w:rPr>
          <w:i/>
        </w:rPr>
        <w:t>n sur l’amendement déposé par le Gouvernement dans le cadre du PLF 2026, puis</w:t>
      </w:r>
      <w:r w:rsidR="007B1780">
        <w:rPr>
          <w:i/>
        </w:rPr>
        <w:t xml:space="preserve"> également l’absence de concertation en amont du CSE pour le présent projet d’arrêté.</w:t>
      </w:r>
    </w:p>
    <w:p w14:paraId="5105FE1A" w14:textId="40852413" w:rsidR="007B1780" w:rsidRDefault="007B1780" w:rsidP="00271D15">
      <w:pPr>
        <w:suppressAutoHyphens w:val="0"/>
        <w:jc w:val="both"/>
        <w:rPr>
          <w:i/>
        </w:rPr>
      </w:pPr>
      <w:r>
        <w:rPr>
          <w:i/>
        </w:rPr>
        <w:lastRenderedPageBreak/>
        <w:t>De plus, malgré de multiples demandes de la filière, l’administration n’a toujours clairement pas chiffré</w:t>
      </w:r>
      <w:r w:rsidR="006A5B7B">
        <w:rPr>
          <w:i/>
        </w:rPr>
        <w:t xml:space="preserve"> les bénéfices apportés par la mise en place de l’arrêté du 22 décembre 2025 pour le système électrique. Il est donc difficile de justifier auprès de la filière de toujours consentir, dans des délais de plus en plus restreints, </w:t>
      </w:r>
      <w:r w:rsidR="00CA129C">
        <w:rPr>
          <w:i/>
        </w:rPr>
        <w:t>à des mesures rétroactives demandant d’investir des coûts fixes supplémentaires dans des installations de plus en plus petites et pour lesquelles il sera de plus en plus difficile</w:t>
      </w:r>
      <w:r w:rsidR="00E17B6A">
        <w:rPr>
          <w:i/>
        </w:rPr>
        <w:t xml:space="preserve"> d’amortir lesdits coûts fixes. Et ce, sans preuve objective et irréfutable que</w:t>
      </w:r>
      <w:r w:rsidR="00271D15">
        <w:rPr>
          <w:i/>
        </w:rPr>
        <w:t xml:space="preserve"> le gain économique espéré pour la collectivité est supérieur aux investissements consentis par la filière renouvelable et qu’aucune alternative n’est disponible pour développer de la flexibilité à la baisse. </w:t>
      </w:r>
    </w:p>
    <w:sectPr w:rsidR="007B1780">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0" w:footer="0" w:gutter="0"/>
      <w:cols w:space="720"/>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thilde REGOLI" w:date="2026-06-23T12:44:00Z" w:initials="MR">
    <w:p w14:paraId="030F3865" w14:textId="77777777" w:rsidR="007F7942" w:rsidRDefault="007F7942" w:rsidP="007F7942">
      <w:pPr>
        <w:pStyle w:val="Commentaire"/>
      </w:pPr>
      <w:r>
        <w:rPr>
          <w:rStyle w:val="Marquedecommentaire"/>
        </w:rPr>
        <w:annotationRef/>
      </w:r>
      <w:r>
        <w:t>Repli à l’amendement de la page précédente</w:t>
      </w:r>
    </w:p>
  </w:comment>
  <w:comment w:id="1" w:author="Renaud Espitalier-Noël" w:date="2026-06-23T11:26:00Z" w:initials="RE">
    <w:p w14:paraId="1D11A55D" w14:textId="77777777" w:rsidR="00206F4D" w:rsidRDefault="00206F4D" w:rsidP="00206F4D">
      <w:pPr>
        <w:pStyle w:val="Commentaire"/>
      </w:pPr>
      <w:r>
        <w:rPr>
          <w:rStyle w:val="Marquedecommentaire"/>
        </w:rPr>
        <w:annotationRef/>
      </w:r>
      <w:r>
        <w:t xml:space="preserve">Adhérents : autre formulation possible, calée sur l’article L171-4 CCH pour l’obligation de solarisation : « </w:t>
      </w:r>
      <w:r>
        <w:rPr>
          <w:i/>
          <w:iCs/>
        </w:rPr>
        <w:t>La Commission de régulation de l’énergie peut accorder une exemption aux producteurs pour les installations de production pour lesquels les travaux permettant de satisfaire aux exigences du présent arrêté ne peuvent être réalisés dans des conditions économiquement acceptables.»</w:t>
      </w:r>
    </w:p>
    <w:p w14:paraId="1AC8422A" w14:textId="77777777" w:rsidR="00206F4D" w:rsidRDefault="00206F4D" w:rsidP="00206F4D">
      <w:pPr>
        <w:pStyle w:val="Commentaire"/>
      </w:pPr>
      <w:r>
        <w:t>Qu’en pensez-vous ?</w:t>
      </w:r>
    </w:p>
  </w:comment>
  <w:comment w:id="2" w:author="Mathilde REGOLI" w:date="2026-06-23T12:45:00Z" w:initials="MR">
    <w:p w14:paraId="4809E3C5" w14:textId="77777777" w:rsidR="007F7942" w:rsidRDefault="007F7942" w:rsidP="007F7942">
      <w:pPr>
        <w:pStyle w:val="Commentaire"/>
      </w:pPr>
      <w:r>
        <w:rPr>
          <w:rStyle w:val="Marquedecommentaire"/>
        </w:rPr>
        <w:annotationRef/>
      </w:r>
      <w:r>
        <w:t>Adhérents : ce seuil sera potentiellement mis à 1MW/MWc pour demander l’étude d’impact pour le prochain ajustement que souhaitera faire l’administration.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0F3865" w15:done="0"/>
  <w15:commentEx w15:paraId="1AC8422A" w15:done="1"/>
  <w15:commentEx w15:paraId="4809E3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FC57D3" w16cex:dateUtc="2026-06-23T10:44:00Z"/>
  <w16cex:commentExtensible w16cex:durableId="11957C3E" w16cex:dateUtc="2026-06-23T09:26:00Z"/>
  <w16cex:commentExtensible w16cex:durableId="5F409EDC" w16cex:dateUtc="2026-06-23T1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0F3865" w16cid:durableId="66FC57D3"/>
  <w16cid:commentId w16cid:paraId="1AC8422A" w16cid:durableId="11957C3E"/>
  <w16cid:commentId w16cid:paraId="4809E3C5" w16cid:durableId="5F409E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B8F00" w14:textId="77777777" w:rsidR="00163E8B" w:rsidRDefault="00163E8B" w:rsidP="00CE3707">
      <w:r>
        <w:separator/>
      </w:r>
    </w:p>
  </w:endnote>
  <w:endnote w:type="continuationSeparator" w:id="0">
    <w:p w14:paraId="6FA40AD2" w14:textId="77777777" w:rsidR="00163E8B" w:rsidRDefault="00163E8B" w:rsidP="00CE3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Optima;Liberation Mono">
    <w:altName w:val="Cambria"/>
    <w:panose1 w:val="00000000000000000000"/>
    <w:charset w:val="00"/>
    <w:family w:val="roman"/>
    <w:notTrueType/>
    <w:pitch w:val="default"/>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B5149" w14:textId="77777777" w:rsidR="00CE3707" w:rsidRDefault="00CE370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A74FC" w14:textId="77777777" w:rsidR="00CE3707" w:rsidRDefault="00CE370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3AD39" w14:textId="77777777" w:rsidR="00CE3707" w:rsidRDefault="00CE370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C9DE5" w14:textId="77777777" w:rsidR="00163E8B" w:rsidRDefault="00163E8B" w:rsidP="00CE3707">
      <w:r>
        <w:separator/>
      </w:r>
    </w:p>
  </w:footnote>
  <w:footnote w:type="continuationSeparator" w:id="0">
    <w:p w14:paraId="36B19AB3" w14:textId="77777777" w:rsidR="00163E8B" w:rsidRDefault="00163E8B" w:rsidP="00CE3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A5025" w14:textId="77777777" w:rsidR="00CE3707" w:rsidRDefault="00CE370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3868331"/>
      <w:docPartObj>
        <w:docPartGallery w:val="Watermarks"/>
        <w:docPartUnique/>
      </w:docPartObj>
    </w:sdtPr>
    <w:sdtEndPr/>
    <w:sdtContent>
      <w:p w14:paraId="1CC1BE75" w14:textId="477A7661" w:rsidR="00CE3707" w:rsidRDefault="00163E8B">
        <w:pPr>
          <w:pStyle w:val="En-tte"/>
        </w:pPr>
        <w:r>
          <w:pict w14:anchorId="7C1957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BROUILLON"/>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4644E" w14:textId="77777777" w:rsidR="00CE3707" w:rsidRDefault="00CE370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3393C"/>
    <w:multiLevelType w:val="multilevel"/>
    <w:tmpl w:val="D2523094"/>
    <w:lvl w:ilvl="0">
      <w:start w:val="1"/>
      <w:numFmt w:val="none"/>
      <w:pStyle w:val="Titre1"/>
      <w:suff w:val="nothing"/>
      <w:lvlText w:val=""/>
      <w:lvlJc w:val="left"/>
      <w:pPr>
        <w:ind w:left="432" w:hanging="432"/>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C275A0A"/>
    <w:multiLevelType w:val="multilevel"/>
    <w:tmpl w:val="0CC8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332571">
    <w:abstractNumId w:val="0"/>
  </w:num>
  <w:num w:numId="2" w16cid:durableId="1993656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thilde REGOLI">
    <w15:presenceInfo w15:providerId="AD" w15:userId="S::mathilde.regoli@enerplan.asso.fr::77d4dfbf-9069-4018-ae12-4df069b604e8"/>
  </w15:person>
  <w15:person w15:author="Renaud Espitalier-Noël">
    <w15:presenceInfo w15:providerId="AD" w15:userId="S::renaud.espitaliernoel@enr.fr::c9f75d8d-64a3-4406-9ca3-1a01399c86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C26"/>
    <w:rsid w:val="0001181B"/>
    <w:rsid w:val="000666CF"/>
    <w:rsid w:val="00097F7A"/>
    <w:rsid w:val="000C29AC"/>
    <w:rsid w:val="000D791F"/>
    <w:rsid w:val="0010130A"/>
    <w:rsid w:val="00117532"/>
    <w:rsid w:val="00132474"/>
    <w:rsid w:val="00144EF8"/>
    <w:rsid w:val="0016342A"/>
    <w:rsid w:val="00163E8B"/>
    <w:rsid w:val="00166627"/>
    <w:rsid w:val="00170E74"/>
    <w:rsid w:val="0018496B"/>
    <w:rsid w:val="001C480C"/>
    <w:rsid w:val="001E3903"/>
    <w:rsid w:val="001E5DFA"/>
    <w:rsid w:val="001F285B"/>
    <w:rsid w:val="00206F4D"/>
    <w:rsid w:val="002107C7"/>
    <w:rsid w:val="00222DFF"/>
    <w:rsid w:val="00271D15"/>
    <w:rsid w:val="00276CC8"/>
    <w:rsid w:val="002A1AE0"/>
    <w:rsid w:val="002C46B4"/>
    <w:rsid w:val="002E6F62"/>
    <w:rsid w:val="002F49E0"/>
    <w:rsid w:val="00324ABC"/>
    <w:rsid w:val="003263E5"/>
    <w:rsid w:val="00327523"/>
    <w:rsid w:val="00336400"/>
    <w:rsid w:val="003B5D88"/>
    <w:rsid w:val="003F46F7"/>
    <w:rsid w:val="0044399C"/>
    <w:rsid w:val="004646F7"/>
    <w:rsid w:val="00472648"/>
    <w:rsid w:val="00484A57"/>
    <w:rsid w:val="004B32F4"/>
    <w:rsid w:val="004E1AF1"/>
    <w:rsid w:val="004E31AF"/>
    <w:rsid w:val="00553CF4"/>
    <w:rsid w:val="0056195A"/>
    <w:rsid w:val="0056322B"/>
    <w:rsid w:val="005705A5"/>
    <w:rsid w:val="00572E1B"/>
    <w:rsid w:val="005D1645"/>
    <w:rsid w:val="005D1654"/>
    <w:rsid w:val="00652933"/>
    <w:rsid w:val="00677C76"/>
    <w:rsid w:val="006A2F3B"/>
    <w:rsid w:val="006A5B7B"/>
    <w:rsid w:val="00761574"/>
    <w:rsid w:val="00785213"/>
    <w:rsid w:val="00791150"/>
    <w:rsid w:val="007B1780"/>
    <w:rsid w:val="007B242F"/>
    <w:rsid w:val="007C0C83"/>
    <w:rsid w:val="007C6134"/>
    <w:rsid w:val="007F7131"/>
    <w:rsid w:val="007F7942"/>
    <w:rsid w:val="008003F9"/>
    <w:rsid w:val="00826FC0"/>
    <w:rsid w:val="00836DEF"/>
    <w:rsid w:val="008377C5"/>
    <w:rsid w:val="0086131D"/>
    <w:rsid w:val="00873EF1"/>
    <w:rsid w:val="008B6B03"/>
    <w:rsid w:val="008E49D8"/>
    <w:rsid w:val="008F74ED"/>
    <w:rsid w:val="0092752F"/>
    <w:rsid w:val="009414F7"/>
    <w:rsid w:val="0094543E"/>
    <w:rsid w:val="0098616F"/>
    <w:rsid w:val="00992A6C"/>
    <w:rsid w:val="009E1FA9"/>
    <w:rsid w:val="009E6E29"/>
    <w:rsid w:val="00A17C1F"/>
    <w:rsid w:val="00A42ED3"/>
    <w:rsid w:val="00A64429"/>
    <w:rsid w:val="00A86CC0"/>
    <w:rsid w:val="00AC155D"/>
    <w:rsid w:val="00AE6EEE"/>
    <w:rsid w:val="00B17BB9"/>
    <w:rsid w:val="00B234B7"/>
    <w:rsid w:val="00B33703"/>
    <w:rsid w:val="00B47BF6"/>
    <w:rsid w:val="00B85871"/>
    <w:rsid w:val="00BE1814"/>
    <w:rsid w:val="00BF0B3B"/>
    <w:rsid w:val="00C042A3"/>
    <w:rsid w:val="00C13AA9"/>
    <w:rsid w:val="00C14A4E"/>
    <w:rsid w:val="00C15735"/>
    <w:rsid w:val="00C323BC"/>
    <w:rsid w:val="00C63A0D"/>
    <w:rsid w:val="00C92F4C"/>
    <w:rsid w:val="00CA129C"/>
    <w:rsid w:val="00CA234B"/>
    <w:rsid w:val="00CB14B2"/>
    <w:rsid w:val="00CC6C26"/>
    <w:rsid w:val="00CD1B64"/>
    <w:rsid w:val="00CE3707"/>
    <w:rsid w:val="00D21565"/>
    <w:rsid w:val="00D53312"/>
    <w:rsid w:val="00D57D33"/>
    <w:rsid w:val="00D749BC"/>
    <w:rsid w:val="00D810E9"/>
    <w:rsid w:val="00DB645F"/>
    <w:rsid w:val="00DE60F6"/>
    <w:rsid w:val="00DF4D18"/>
    <w:rsid w:val="00E01F79"/>
    <w:rsid w:val="00E052AC"/>
    <w:rsid w:val="00E17B6A"/>
    <w:rsid w:val="00E4230A"/>
    <w:rsid w:val="00E43165"/>
    <w:rsid w:val="00E45D7D"/>
    <w:rsid w:val="00E534A2"/>
    <w:rsid w:val="00E93CDB"/>
    <w:rsid w:val="00EA6767"/>
    <w:rsid w:val="00ED2771"/>
    <w:rsid w:val="00ED3A5E"/>
    <w:rsid w:val="00ED7752"/>
    <w:rsid w:val="00EE7945"/>
    <w:rsid w:val="00F04FE3"/>
    <w:rsid w:val="00F24061"/>
    <w:rsid w:val="00F72128"/>
    <w:rsid w:val="00F76101"/>
    <w:rsid w:val="00F9443F"/>
    <w:rsid w:val="00FA3B1F"/>
    <w:rsid w:val="00FB0632"/>
    <w:rsid w:val="00FC0F37"/>
    <w:rsid w:val="00FC4CE0"/>
    <w:rsid w:val="00FE247E"/>
    <w:rsid w:val="00FF4333"/>
    <w:rsid w:val="0182A3E9"/>
    <w:rsid w:val="110E17CF"/>
    <w:rsid w:val="31DB06FE"/>
    <w:rsid w:val="36730519"/>
    <w:rsid w:val="4DE3207C"/>
    <w:rsid w:val="5318A0B0"/>
    <w:rsid w:val="5413D8EA"/>
    <w:rsid w:val="57D5C41B"/>
    <w:rsid w:val="58161F1F"/>
    <w:rsid w:val="67AF37D0"/>
    <w:rsid w:val="6A8CF5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2230A"/>
  <w15:docId w15:val="{36FA7C7D-421C-4FA0-A969-1C74E81BF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Cs w:val="24"/>
        <w:lang w:val="fr-F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cs="Times New Roman"/>
      <w:sz w:val="24"/>
      <w:lang w:bidi="ar-SA"/>
    </w:rPr>
  </w:style>
  <w:style w:type="paragraph" w:styleId="Titre1">
    <w:name w:val="heading 1"/>
    <w:basedOn w:val="Normal"/>
    <w:next w:val="Corpsdetexte"/>
    <w:qFormat/>
    <w:pPr>
      <w:numPr>
        <w:numId w:val="1"/>
      </w:numPr>
      <w:spacing w:before="280" w:after="280"/>
      <w:outlineLvl w:val="0"/>
    </w:pPr>
    <w:rPr>
      <w:rFonts w:ascii="Verdana" w:hAnsi="Verdana" w:cs="Verdana"/>
      <w:b/>
      <w:bCs/>
      <w:kern w:val="2"/>
      <w:sz w:val="30"/>
      <w:szCs w:val="3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Calibri" w:eastAsia="Times New Roman" w:hAnsi="Calibri" w:cs="Calibri"/>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rFonts w:ascii="Times New Roman" w:eastAsia="Times New Roman" w:hAnsi="Times New Roman" w:cs="Times New Roman"/>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Policepardfaut1">
    <w:name w:val="Police par défaut1"/>
    <w:qFormat/>
  </w:style>
  <w:style w:type="character" w:customStyle="1" w:styleId="Accentuationforte">
    <w:name w:val="Accentuation forte"/>
    <w:qFormat/>
    <w:rPr>
      <w:b/>
      <w:bCs/>
    </w:rPr>
  </w:style>
  <w:style w:type="character" w:customStyle="1" w:styleId="BodyTextChar">
    <w:name w:val="Body Text Char"/>
    <w:qFormat/>
    <w:rPr>
      <w:sz w:val="24"/>
      <w:lang w:val="fr-FR" w:bidi="ar-SA"/>
    </w:rPr>
  </w:style>
  <w:style w:type="character" w:customStyle="1" w:styleId="SNArticleCar">
    <w:name w:val="SNArticle Car"/>
    <w:qFormat/>
    <w:rPr>
      <w:rFonts w:ascii="Optima;Liberation Mono" w:hAnsi="Optima;Liberation Mono" w:cs="Optima;Liberation Mono"/>
      <w:sz w:val="22"/>
      <w:szCs w:val="22"/>
      <w:lang w:val="fr-FR" w:bidi="ar-SA"/>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20"/>
      <w:jc w:val="both"/>
    </w:pPr>
    <w:rPr>
      <w:szCs w:val="20"/>
    </w:r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customStyle="1" w:styleId="Titre10">
    <w:name w:val="Titre1"/>
    <w:basedOn w:val="Normal"/>
    <w:next w:val="Corpsdetexte"/>
    <w:qFormat/>
    <w:pPr>
      <w:keepNext/>
      <w:spacing w:before="240" w:after="120"/>
    </w:pPr>
    <w:rPr>
      <w:rFonts w:ascii="Liberation Sans" w:eastAsia="Microsoft YaHei" w:hAnsi="Liberation Sans" w:cs="Mangal"/>
      <w:sz w:val="28"/>
      <w:szCs w:val="28"/>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NormalWeb">
    <w:name w:val="Normal (Web)"/>
    <w:basedOn w:val="Normal"/>
    <w:qFormat/>
    <w:pPr>
      <w:spacing w:before="280" w:after="280"/>
    </w:pPr>
  </w:style>
  <w:style w:type="paragraph" w:customStyle="1" w:styleId="SNArticle">
    <w:name w:val="SNArticle"/>
    <w:basedOn w:val="Normal"/>
    <w:next w:val="Corpsdetexte"/>
    <w:qFormat/>
    <w:pPr>
      <w:spacing w:before="240" w:after="240"/>
      <w:jc w:val="center"/>
    </w:pPr>
    <w:rPr>
      <w:rFonts w:ascii="Optima;Liberation Mono" w:hAnsi="Optima;Liberation Mono" w:cs="Optima;Liberation Mono"/>
      <w:sz w:val="22"/>
      <w:szCs w:val="22"/>
    </w:rPr>
  </w:style>
  <w:style w:type="paragraph" w:styleId="Paragraphedeliste">
    <w:name w:val="List Paragraph"/>
    <w:basedOn w:val="Normal"/>
    <w:qFormat/>
    <w:pPr>
      <w:spacing w:after="200" w:line="276" w:lineRule="auto"/>
      <w:ind w:left="720"/>
      <w:contextualSpacing/>
    </w:pPr>
    <w:rPr>
      <w:rFonts w:ascii="Calibri" w:hAnsi="Calibri" w:cs="Calibri"/>
      <w:sz w:val="22"/>
      <w:szCs w:val="22"/>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numbering" w:customStyle="1" w:styleId="WW8Num1">
    <w:name w:val="WW8Num1"/>
    <w:qFormat/>
  </w:style>
  <w:style w:type="character" w:styleId="Marquedecommentaire">
    <w:name w:val="annotation reference"/>
    <w:basedOn w:val="Policepardfaut"/>
    <w:uiPriority w:val="99"/>
    <w:semiHidden/>
    <w:unhideWhenUsed/>
    <w:rsid w:val="00D53312"/>
    <w:rPr>
      <w:sz w:val="16"/>
      <w:szCs w:val="16"/>
    </w:rPr>
  </w:style>
  <w:style w:type="paragraph" w:styleId="Commentaire">
    <w:name w:val="annotation text"/>
    <w:basedOn w:val="Normal"/>
    <w:link w:val="CommentaireCar"/>
    <w:uiPriority w:val="99"/>
    <w:unhideWhenUsed/>
    <w:rsid w:val="00D53312"/>
    <w:rPr>
      <w:sz w:val="20"/>
      <w:szCs w:val="20"/>
    </w:rPr>
  </w:style>
  <w:style w:type="character" w:customStyle="1" w:styleId="CommentaireCar">
    <w:name w:val="Commentaire Car"/>
    <w:basedOn w:val="Policepardfaut"/>
    <w:link w:val="Commentaire"/>
    <w:uiPriority w:val="99"/>
    <w:rsid w:val="00D53312"/>
    <w:rPr>
      <w:rFonts w:ascii="Times New Roman" w:eastAsia="Times New Roman" w:hAnsi="Times New Roman" w:cs="Times New Roman"/>
      <w:szCs w:val="20"/>
      <w:lang w:bidi="ar-SA"/>
    </w:rPr>
  </w:style>
  <w:style w:type="paragraph" w:styleId="Objetducommentaire">
    <w:name w:val="annotation subject"/>
    <w:basedOn w:val="Commentaire"/>
    <w:next w:val="Commentaire"/>
    <w:link w:val="ObjetducommentaireCar"/>
    <w:uiPriority w:val="99"/>
    <w:semiHidden/>
    <w:unhideWhenUsed/>
    <w:rsid w:val="00D53312"/>
    <w:rPr>
      <w:b/>
      <w:bCs/>
    </w:rPr>
  </w:style>
  <w:style w:type="character" w:customStyle="1" w:styleId="ObjetducommentaireCar">
    <w:name w:val="Objet du commentaire Car"/>
    <w:basedOn w:val="CommentaireCar"/>
    <w:link w:val="Objetducommentaire"/>
    <w:uiPriority w:val="99"/>
    <w:semiHidden/>
    <w:rsid w:val="00D53312"/>
    <w:rPr>
      <w:rFonts w:ascii="Times New Roman" w:eastAsia="Times New Roman" w:hAnsi="Times New Roman" w:cs="Times New Roman"/>
      <w:b/>
      <w:bCs/>
      <w:szCs w:val="20"/>
      <w:lang w:bidi="ar-SA"/>
    </w:rPr>
  </w:style>
  <w:style w:type="paragraph" w:styleId="Rvision">
    <w:name w:val="Revision"/>
    <w:hidden/>
    <w:uiPriority w:val="99"/>
    <w:semiHidden/>
    <w:rsid w:val="00F76101"/>
    <w:rPr>
      <w:rFonts w:ascii="Times New Roman" w:eastAsia="Times New Roman" w:hAnsi="Times New Roman" w:cs="Times New Roman"/>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2c8f0d3-f0b5-4b22-9791-a01043ca9571">
      <Terms xmlns="http://schemas.microsoft.com/office/infopath/2007/PartnerControls"/>
    </lcf76f155ced4ddcb4097134ff3c332f>
    <TaxCatchAll xmlns="84fedc73-3d31-40eb-b9ca-16e14547ec6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8DAC12E4721C43AE09FEE514298A8A" ma:contentTypeVersion="17" ma:contentTypeDescription="Create a new document." ma:contentTypeScope="" ma:versionID="e0b4904732e2b583b7e5d2b2c734dac0">
  <xsd:schema xmlns:xsd="http://www.w3.org/2001/XMLSchema" xmlns:xs="http://www.w3.org/2001/XMLSchema" xmlns:p="http://schemas.microsoft.com/office/2006/metadata/properties" xmlns:ns2="92c8f0d3-f0b5-4b22-9791-a01043ca9571" xmlns:ns3="84fedc73-3d31-40eb-b9ca-16e14547ec6e" targetNamespace="http://schemas.microsoft.com/office/2006/metadata/properties" ma:root="true" ma:fieldsID="d3d3459d0b8c63ec1c4ad8929753a928" ns2:_="" ns3:_="">
    <xsd:import namespace="92c8f0d3-f0b5-4b22-9791-a01043ca9571"/>
    <xsd:import namespace="84fedc73-3d31-40eb-b9ca-16e14547ec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8f0d3-f0b5-4b22-9791-a01043ca95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19d850e-b483-474f-938d-c19defc93a8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fedc73-3d31-40eb-b9ca-16e14547ec6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4f4a7fa-7a81-4010-abe2-b5d44db5781e}" ma:internalName="TaxCatchAll" ma:showField="CatchAllData" ma:web="84fedc73-3d31-40eb-b9ca-16e14547ec6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3EA409-598F-4D9B-B252-4980E8EC8A74}">
  <ds:schemaRefs>
    <ds:schemaRef ds:uri="http://schemas.microsoft.com/office/2006/metadata/properties"/>
    <ds:schemaRef ds:uri="http://schemas.microsoft.com/office/infopath/2007/PartnerControls"/>
    <ds:schemaRef ds:uri="678b180b-577a-4183-80f0-e186353213b0"/>
    <ds:schemaRef ds:uri="1349ca00-8b5a-418b-a952-4b2617b078fd"/>
  </ds:schemaRefs>
</ds:datastoreItem>
</file>

<file path=customXml/itemProps2.xml><?xml version="1.0" encoding="utf-8"?>
<ds:datastoreItem xmlns:ds="http://schemas.openxmlformats.org/officeDocument/2006/customXml" ds:itemID="{02720D15-DAAD-404A-B4ED-43500450DCCB}"/>
</file>

<file path=customXml/itemProps3.xml><?xml version="1.0" encoding="utf-8"?>
<ds:datastoreItem xmlns:ds="http://schemas.openxmlformats.org/officeDocument/2006/customXml" ds:itemID="{90980F11-50FE-473E-BCAF-DD14C1A89E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1698</Words>
  <Characters>9339</Characters>
  <Application>Microsoft Office Word</Application>
  <DocSecurity>0</DocSecurity>
  <Lines>77</Lines>
  <Paragraphs>22</Paragraphs>
  <ScaleCrop>false</ScaleCrop>
  <Company>MTES</Company>
  <LinksUpToDate>false</LinksUpToDate>
  <CharactersWithSpaces>11015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Conseil supérieur de l’énergie</dc:title>
  <dc:subject/>
  <dc:creator>BELVINDRAH Jacqueline</dc:creator>
  <cp:keywords/>
  <dc:description/>
  <cp:lastModifiedBy>Mathilde REGOLI</cp:lastModifiedBy>
  <cp:revision>3</cp:revision>
  <dcterms:created xsi:type="dcterms:W3CDTF">2026-06-23T10:44:00Z</dcterms:created>
  <dcterms:modified xsi:type="dcterms:W3CDTF">2026-06-23T10:45:00Z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0x010100BD8DAC12E4721C43AE09FEE514298A8A</vt:lpwstr>
  </property>
  <property fmtid="{D5CDD505-2E9C-101B-9397-08002B2CF9AE}" pid="3" name="MediaServiceImageTags">
    <vt:lpwstr/>
  </property>
</Properties>
</file>